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0D72DF32">
      <w:pPr>
        <w:spacing w:before="720" w:after="240"/>
      </w:pPr>
    </w:p>
    <w:p w14:paraId="699292C9">
      <w:pPr>
        <w:spacing w:after="120"/>
      </w:pPr>
      <w:r>
        <w:rPr>
          <w:rFonts w:ascii="Calibri" w:hAnsi="Calibri" w:eastAsia="ＭＳ 明朝" w:cs="Calibri" w:eastAsiaTheme="minorEastAsia" w:csTheme="minorBidi"/>
          <w:b/>
          <w:bCs/>
          <w:color w:val="2563EB"/>
          <w:sz w:val="19"/>
          <w:szCs w:val="22"/>
        </w:rPr>
        <w:t>VAXPLAN PLATFORM • GLOBAL HEALTH INITIATIVE</w:t>
      </w:r>
    </w:p>
    <w:p w14:paraId="1FB93BF6">
      <w:pPr>
        <w:spacing w:after="200" w:line="264" w:lineRule="auto"/>
      </w:pPr>
      <w:r>
        <w:rPr>
          <w:rFonts w:ascii="Calibri" w:hAnsi="Calibri" w:eastAsia="ＭＳ 明朝" w:cs="Calibri" w:eastAsiaTheme="minorEastAsia" w:csTheme="minorBidi"/>
          <w:b/>
          <w:bCs/>
          <w:color w:val="0F172A"/>
          <w:sz w:val="52"/>
          <w:szCs w:val="22"/>
        </w:rPr>
        <w:t>VaxPlan: Organizational Terms of Reference (ToR) &amp; Operational Manual</w:t>
      </w:r>
    </w:p>
    <w:p w14:paraId="1B5F9DDA">
      <w:pPr>
        <w:spacing w:after="480"/>
      </w:pPr>
      <w:r>
        <w:rPr>
          <w:rFonts w:ascii="Calibri" w:hAnsi="Calibri" w:eastAsia="ＭＳ 明朝" w:cs="Calibri" w:eastAsiaTheme="minorEastAsia" w:csTheme="minorBidi"/>
          <w:color w:val="64748B"/>
          <w:sz w:val="25"/>
          <w:szCs w:val="22"/>
        </w:rPr>
        <w:t>Institutional Governance Charters, Executive Mandates, Consultant Scopes of Work, and Team Standard Operating Procedures</w:t>
      </w:r>
    </w:p>
    <w:p w14:paraId="0624AA05">
      <w:pPr>
        <w:spacing w:after="560"/>
      </w:pP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color w:val="2563EB"/>
          <w:sz w:val="22"/>
          <w:szCs w:val="22"/>
        </w:rPr>
        <w:t>――――――――――――――――――――――――――――――――――――――――――</w:t>
      </w:r>
    </w:p>
    <w:tbl>
      <w:tblPr>
        <w:tblW w:w="0" w:type="auto"/>
        <w:jc w:val="center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3168"/>
        <w:gridCol w:w="6192"/>
      </w:tblGrid>
      <w:tr>
        <w:tc>
          <w:tcPr>
            <w:tcW w:w="4896" w:type="dxa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  <w:shd w:val="clear" w:fill="F1F5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A57555">
            <w:pPr>
              <w:spacing w:before="20" w:after="2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color w:val="1E3A8A"/>
                <w:sz w:val="18"/>
                <w:szCs w:val="22"/>
              </w:rPr>
              <w:t>Document Version</w:t>
            </w:r>
          </w:p>
        </w:tc>
        <w:tc>
          <w:tcPr>
            <w:tcW w:w="4896" w:type="dxa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  <w:shd w:val="clear" w:fill="F1F5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4ECC11">
            <w:pPr>
              <w:spacing w:before="20" w:after="2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8"/>
                <w:szCs w:val="22"/>
              </w:rPr>
              <w:t>v1.0 (Governance &amp; Operations Edition)</w:t>
            </w:r>
          </w:p>
        </w:tc>
      </w:tr>
      <w:tr>
        <w:tc>
          <w:tcPr>
            <w:tcW w:w="4896" w:type="dxa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  <w:shd w:val="clear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D5AFEB">
            <w:pPr>
              <w:spacing w:before="20" w:after="2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color w:val="1E3A8A"/>
                <w:sz w:val="18"/>
                <w:szCs w:val="22"/>
              </w:rPr>
              <w:t>Effective Date</w:t>
            </w:r>
          </w:p>
        </w:tc>
        <w:tc>
          <w:tcPr>
            <w:tcW w:w="4896" w:type="dxa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  <w:shd w:val="clear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01E710">
            <w:pPr>
              <w:spacing w:before="20" w:after="2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8"/>
                <w:szCs w:val="22"/>
              </w:rPr>
              <w:t>September 2026</w:t>
            </w:r>
          </w:p>
        </w:tc>
      </w:tr>
      <w:tr>
        <w:tc>
          <w:tcPr>
            <w:tcW w:w="4896" w:type="dxa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  <w:shd w:val="clear" w:fill="F1F5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3D5843">
            <w:pPr>
              <w:spacing w:before="20" w:after="2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color w:val="1E3A8A"/>
                <w:sz w:val="18"/>
                <w:szCs w:val="22"/>
              </w:rPr>
              <w:t>Target Audience</w:t>
            </w:r>
          </w:p>
        </w:tc>
        <w:tc>
          <w:tcPr>
            <w:tcW w:w="4896" w:type="dxa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  <w:shd w:val="clear" w:fill="F1F5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B44690">
            <w:pPr>
              <w:spacing w:before="20" w:after="2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8"/>
                <w:szCs w:val="22"/>
              </w:rPr>
              <w:t>Founder, Co-Founders, Advisory Board, Consultants, Core Employees, MoH Liaisons</w:t>
            </w:r>
          </w:p>
        </w:tc>
      </w:tr>
      <w:tr>
        <w:tc>
          <w:tcPr>
            <w:tcW w:w="4896" w:type="dxa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  <w:shd w:val="clear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1D2F56">
            <w:pPr>
              <w:spacing w:before="20" w:after="2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color w:val="1E3A8A"/>
                <w:sz w:val="18"/>
                <w:szCs w:val="22"/>
              </w:rPr>
              <w:t>Governance Framework</w:t>
            </w:r>
          </w:p>
        </w:tc>
        <w:tc>
          <w:tcPr>
            <w:tcW w:w="4896" w:type="dxa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  <w:shd w:val="clear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1493EE">
            <w:pPr>
              <w:spacing w:before="20" w:after="2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8"/>
                <w:szCs w:val="22"/>
              </w:rPr>
              <w:t>Sovereign Health Data Sovereignty, Zero-Data-Loss Standards, Role-Based Access Control</w:t>
            </w:r>
          </w:p>
        </w:tc>
      </w:tr>
      <w:tr>
        <w:tc>
          <w:tcPr>
            <w:tcW w:w="4896" w:type="dxa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  <w:shd w:val="clear" w:fill="F1F5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260084">
            <w:pPr>
              <w:spacing w:before="20" w:after="2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color w:val="1E3A8A"/>
                <w:sz w:val="18"/>
                <w:szCs w:val="22"/>
              </w:rPr>
              <w:t>Standard Alignment</w:t>
            </w:r>
          </w:p>
        </w:tc>
        <w:tc>
          <w:tcPr>
            <w:tcW w:w="4896" w:type="dxa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  <w:shd w:val="clear" w:fill="F1F5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4D3168">
            <w:pPr>
              <w:spacing w:before="20" w:after="2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8"/>
                <w:szCs w:val="22"/>
              </w:rPr>
              <w:t>WHO Digital Health Guidelines, ISO/IEC 27001 Security Controls, HL7 FHIR Interoperability</w:t>
            </w:r>
          </w:p>
        </w:tc>
      </w:tr>
      <w:tr>
        <w:tc>
          <w:tcPr>
            <w:tcW w:w="4896" w:type="dxa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  <w:shd w:val="clear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6AC155">
            <w:pPr>
              <w:spacing w:before="20" w:after="2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color w:val="1E3A8A"/>
                <w:sz w:val="18"/>
                <w:szCs w:val="22"/>
              </w:rPr>
              <w:t>Review Frequency</w:t>
            </w:r>
          </w:p>
        </w:tc>
        <w:tc>
          <w:tcPr>
            <w:tcW w:w="4896" w:type="dxa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  <w:shd w:val="clear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C9FB6F">
            <w:pPr>
              <w:spacing w:before="20" w:after="2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8"/>
                <w:szCs w:val="22"/>
              </w:rPr>
              <w:t>Annual Executive Review or upon Country Deployment Milestone</w:t>
            </w:r>
          </w:p>
        </w:tc>
      </w:tr>
    </w:tbl>
    <w:p w14:paraId="4431895E">
      <w:pPr>
        <w:spacing w:before="800"/>
      </w:pPr>
      <w:r>
        <w:rPr>
          <w:rFonts w:ascii="Calibri" w:hAnsi="Calibri" w:eastAsia="ＭＳ 明朝" w:cs="Calibri" w:eastAsiaTheme="minorEastAsia" w:csTheme="minorBidi"/>
          <w:i/>
          <w:iCs/>
          <w:color w:val="059669"/>
          <w:sz w:val="20"/>
          <w:szCs w:val="22"/>
        </w:rPr>
        <w:t>Reach every child. Plan every session. Optimize every dose.</w:t>
      </w:r>
    </w:p>
    <w:p w14:paraId="4A2FC06D">
      <w:pPr>
        <w:pageBreakBefore/>
        <w:spacing w:after="200" w:line="276" w:lineRule="auto"/>
      </w:pPr>
      <w:r>
        <w:lastRenderedPageBreak/>
      </w:r>
    </w:p>
    <w:p w14:paraId="3F103761">
      <w:pPr>
        <w:keepNext/>
        <w:spacing w:before="360" w:after="120"/>
      </w:pPr>
      <w:r>
        <w:rPr>
          <w:rFonts w:ascii="Calibri" w:hAnsi="Calibri" w:eastAsia="ＭＳ 明朝" w:cs="Calibri" w:eastAsiaTheme="minorEastAsia" w:csTheme="minorBidi"/>
          <w:b/>
          <w:bCs/>
          <w:color w:val="0F172A"/>
          <w:sz w:val="30"/>
          <w:szCs w:val="22"/>
        </w:rPr>
        <w:t>1. Organizational Mandate &amp; Core Values</w:t>
      </w:r>
    </w:p>
    <w:p w14:paraId="0050B9EA">
      <w:pPr>
        <w:spacing w:before="0" w:after="120" w:line="276" w:lineRule="auto"/>
      </w:pPr>
      <w:r>
        <w:rPr>
          <w:rFonts w:ascii="Calibri" w:hAnsi="Calibri" w:eastAsia="ＭＳ 明朝" w:cs="Calibri" w:eastAsiaTheme="minorEastAsia" w:csTheme="minorBidi"/>
          <w:color w:val="1E293B"/>
          <w:sz w:val="20"/>
          <w:szCs w:val="22"/>
        </w:rPr>
        <w:t>The mission of VaxPlan is to eradicate preventable childhood disease and reach every zero-dose community by providing Ministries of Health, frontline health workers, and global partners with an intelligent, offline-first GIS microplanning and operations platform.</w:t>
      </w:r>
    </w:p>
    <w:tbl>
      <w:tblPr>
        <w:tblW w:w="0" w:type="auto"/>
        <w:jc w:val="center"/>
        <w:tblBorders>
          <w:top w:val="none"/>
          <w:left w:val="single" w:sz="24" w:space="0" w:color="3B82F6"/>
          <w:bottom w:val="none"/>
          <w:right w:val="none"/>
          <w:insideH w:val="none"/>
          <w:insideV w:val="none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9360"/>
      </w:tblGrid>
      <w:tr>
        <w:tc>
          <w:tcPr>
            <w:tcW w:w="9792" w:type="dxa"/>
            <w:tcBorders>
              <w:top w:val="none"/>
              <w:left w:val="single" w:sz="24" w:space="0" w:color="3B82F6"/>
              <w:bottom w:val="none"/>
              <w:right w:val="none"/>
            </w:tcBorders>
            <w:shd w:val="clear" w:fill="EFF6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A4CC109">
            <w:pPr>
              <w:spacing w:before="40" w:after="40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color w:val="3B82F6"/>
                <w:sz w:val="20"/>
                <w:szCs w:val="22"/>
              </w:rPr>
              <w:t xml:space="preserve">Operational Doctrine: </w:t>
            </w:r>
            <w:r>
              <w:rPr>
                <w:rFonts w:ascii="Calibri" w:hAnsi="Calibri" w:eastAsia="ＭＳ 明朝" w:cs="Calibri" w:eastAsiaTheme="minorEastAsia" w:csTheme="minorBidi"/>
                <w:i/>
                <w:iCs/>
                <w:color w:val="1E293B"/>
                <w:sz w:val="19"/>
                <w:szCs w:val="22"/>
              </w:rPr>
              <w:t>Every line of code, technical architecture decision, and in-country training initiative must prioritize the frontline health worker. We operate under strict principles: Health Worker First, Offline-Resilient by Default, Absolute Data Sovereignty, Non-Destructive System Integrity, and WHO Evidence-Based Standards.</w:t>
            </w:r>
          </w:p>
        </w:tc>
      </w:tr>
    </w:tbl>
    <w:p w14:paraId="7D9BC18E">
      <w:pPr>
        <w:spacing w:after="80"/>
      </w:pPr>
    </w:p>
    <w:p w14:paraId="7D34F374">
      <w:pPr>
        <w:keepNext/>
        <w:spacing w:before="360" w:after="120"/>
      </w:pPr>
      <w:r>
        <w:rPr>
          <w:rFonts w:ascii="Calibri" w:hAnsi="Calibri" w:eastAsia="ＭＳ 明朝" w:cs="Calibri" w:eastAsiaTheme="minorEastAsia" w:csTheme="minorBidi"/>
          <w:b/>
          <w:bCs/>
          <w:color w:val="0F172A"/>
          <w:sz w:val="30"/>
          <w:szCs w:val="22"/>
        </w:rPr>
        <w:t>2. Executive Leadership Charters (ToR)</w:t>
      </w:r>
    </w:p>
    <w:p w14:paraId="18CB5430">
      <w:pPr>
        <w:keepNext/>
        <w:spacing w:before="280" w:after="80"/>
      </w:pPr>
      <w:r>
        <w:rPr>
          <w:rFonts w:ascii="Calibri" w:hAnsi="Calibri" w:eastAsia="ＭＳ 明朝" w:cs="Calibri" w:eastAsiaTheme="minorEastAsia" w:csTheme="minorBidi"/>
          <w:b/>
          <w:bCs/>
          <w:color w:val="1E3A8A"/>
          <w:sz w:val="25"/>
          <w:szCs w:val="22"/>
        </w:rPr>
        <w:t>2.1 Founder &amp; Chief Executive Officer (CEO)</w:t>
      </w:r>
    </w:p>
    <w:p w14:paraId="251DC681">
      <w:pPr>
        <w:pStyle w:val="ListBullet"/>
        <w:spacing w:before="0" w:after="60" w:line="269" w:lineRule="auto"/>
        <w:ind w:left="360" w:hanging="360"/>
      </w:pPr>
      <w:r>
        <w:rPr>
          <w:rFonts w:ascii="Calibri" w:hAnsi="Calibri" w:eastAsia="ＭＳ 明朝" w:cs="Calibri" w:eastAsiaTheme="minorEastAsia" w:csTheme="minorBidi"/>
          <w:b/>
          <w:bCs/>
          <w:color w:val="1E3A8A"/>
          <w:sz w:val="19"/>
          <w:szCs w:val="22"/>
        </w:rPr>
        <w:t xml:space="preserve">Strategic Vision: </w:t>
      </w:r>
      <w:r>
        <w:rPr>
          <w:rFonts w:ascii="Calibri" w:hAnsi="Calibri" w:eastAsia="ＭＳ 明朝" w:cs="Calibri" w:eastAsiaTheme="minorEastAsia" w:csTheme="minorBidi"/>
          <w:color w:val="1E293B"/>
          <w:sz w:val="19"/>
          <w:szCs w:val="22"/>
        </w:rPr>
        <w:t>Lead global vision and multi-year organizational growth to establish VaxPlan as the recognized national microplanning standard across 20+ countries.</w:t>
      </w:r>
    </w:p>
    <w:p w14:paraId="4219F5FF">
      <w:pPr>
        <w:pStyle w:val="ListBullet"/>
        <w:spacing w:before="0" w:after="60" w:line="269" w:lineRule="auto"/>
        <w:ind w:left="360" w:hanging="360"/>
      </w:pPr>
      <w:r>
        <w:rPr>
          <w:rFonts w:ascii="Calibri" w:hAnsi="Calibri" w:eastAsia="ＭＳ 明朝" w:cs="Calibri" w:eastAsiaTheme="minorEastAsia" w:csTheme="minorBidi"/>
          <w:b/>
          <w:bCs/>
          <w:color w:val="1E3A8A"/>
          <w:sz w:val="19"/>
          <w:szCs w:val="22"/>
        </w:rPr>
        <w:t xml:space="preserve">Ministerial Partnerships: </w:t>
      </w:r>
      <w:r>
        <w:rPr>
          <w:rFonts w:ascii="Calibri" w:hAnsi="Calibri" w:eastAsia="ＭＳ 明朝" w:cs="Calibri" w:eastAsiaTheme="minorEastAsia" w:csTheme="minorBidi"/>
          <w:color w:val="1E293B"/>
          <w:sz w:val="19"/>
          <w:szCs w:val="22"/>
        </w:rPr>
        <w:t>Lead sovereign ministerial diplomacy with Ministers of Health, National EPI Directors, and donor executives at Gavi, WHO, UNICEF, and the Gates Foundation.</w:t>
      </w:r>
    </w:p>
    <w:p w14:paraId="1DC80FF5">
      <w:pPr>
        <w:pStyle w:val="ListBullet"/>
        <w:spacing w:before="0" w:after="60" w:line="269" w:lineRule="auto"/>
        <w:ind w:left="360" w:hanging="360"/>
      </w:pPr>
      <w:r>
        <w:rPr>
          <w:rFonts w:ascii="Calibri" w:hAnsi="Calibri" w:eastAsia="ＭＳ 明朝" w:cs="Calibri" w:eastAsiaTheme="minorEastAsia" w:csTheme="minorBidi"/>
          <w:b/>
          <w:bCs/>
          <w:color w:val="1E3A8A"/>
          <w:sz w:val="19"/>
          <w:szCs w:val="22"/>
        </w:rPr>
        <w:t xml:space="preserve">Capitalization: </w:t>
      </w:r>
      <w:r>
        <w:rPr>
          <w:rFonts w:ascii="Calibri" w:hAnsi="Calibri" w:eastAsia="ＭＳ 明朝" w:cs="Calibri" w:eastAsiaTheme="minorEastAsia" w:csTheme="minorBidi"/>
          <w:color w:val="1E293B"/>
          <w:sz w:val="19"/>
          <w:szCs w:val="22"/>
        </w:rPr>
        <w:t>Secure institutional financing, technical assistance grants, and sustainable multi-year software agreements.</w:t>
      </w:r>
    </w:p>
    <w:p w14:paraId="3B6F1BC9">
      <w:pPr>
        <w:pStyle w:val="ListBullet"/>
        <w:spacing w:before="0" w:after="60" w:line="269" w:lineRule="auto"/>
        <w:ind w:left="360" w:hanging="360"/>
      </w:pPr>
      <w:r>
        <w:rPr>
          <w:rFonts w:ascii="Calibri" w:hAnsi="Calibri" w:eastAsia="ＭＳ 明朝" w:cs="Calibri" w:eastAsiaTheme="minorEastAsia" w:csTheme="minorBidi"/>
          <w:b/>
          <w:bCs/>
          <w:color w:val="1E3A8A"/>
          <w:sz w:val="19"/>
          <w:szCs w:val="22"/>
        </w:rPr>
        <w:t xml:space="preserve">Governance: </w:t>
      </w:r>
      <w:r>
        <w:rPr>
          <w:rFonts w:ascii="Calibri" w:hAnsi="Calibri" w:eastAsia="ＭＳ 明朝" w:cs="Calibri" w:eastAsiaTheme="minorEastAsia" w:csTheme="minorBidi"/>
          <w:color w:val="1E293B"/>
          <w:sz w:val="19"/>
          <w:szCs w:val="22"/>
        </w:rPr>
        <w:t>Lead executive performance, uphold organizational ethics, and champion global health equity.</w:t>
      </w:r>
    </w:p>
    <w:p w14:paraId="07835D42">
      <w:pPr>
        <w:keepNext/>
        <w:spacing w:before="280" w:after="80"/>
      </w:pPr>
      <w:r>
        <w:rPr>
          <w:rFonts w:ascii="Calibri" w:hAnsi="Calibri" w:eastAsia="ＭＳ 明朝" w:cs="Calibri" w:eastAsiaTheme="minorEastAsia" w:csTheme="minorBidi"/>
          <w:b/>
          <w:bCs/>
          <w:color w:val="1E3A8A"/>
          <w:sz w:val="25"/>
          <w:szCs w:val="22"/>
        </w:rPr>
        <w:t>2.2 Co-Founder &amp; Chief Technology Officer (CTO)</w:t>
      </w:r>
    </w:p>
    <w:p w14:paraId="0E0F5865">
      <w:pPr>
        <w:pStyle w:val="ListBullet"/>
        <w:spacing w:before="0" w:after="60" w:line="269" w:lineRule="auto"/>
        <w:ind w:left="360" w:hanging="360"/>
      </w:pPr>
      <w:r>
        <w:rPr>
          <w:rFonts w:ascii="Calibri" w:hAnsi="Calibri" w:eastAsia="ＭＳ 明朝" w:cs="Calibri" w:eastAsiaTheme="minorEastAsia" w:csTheme="minorBidi"/>
          <w:b/>
          <w:bCs/>
          <w:color w:val="1E3A8A"/>
          <w:sz w:val="19"/>
          <w:szCs w:val="22"/>
        </w:rPr>
        <w:t xml:space="preserve">Platform Architecture: </w:t>
      </w:r>
      <w:r>
        <w:rPr>
          <w:rFonts w:ascii="Calibri" w:hAnsi="Calibri" w:eastAsia="ＭＳ 明朝" w:cs="Calibri" w:eastAsiaTheme="minorEastAsia" w:csTheme="minorBidi"/>
          <w:color w:val="1E293B"/>
          <w:sz w:val="19"/>
          <w:szCs w:val="22"/>
        </w:rPr>
        <w:t>Architect and govern the full technology stack: React frontend, Node.js backend, PostGIS spatial database, and offline-first IndexedDB replication.</w:t>
      </w:r>
    </w:p>
    <w:p w14:paraId="620188D6">
      <w:pPr>
        <w:pStyle w:val="ListBullet"/>
        <w:spacing w:before="0" w:after="60" w:line="269" w:lineRule="auto"/>
        <w:ind w:left="360" w:hanging="360"/>
      </w:pPr>
      <w:r>
        <w:rPr>
          <w:rFonts w:ascii="Calibri" w:hAnsi="Calibri" w:eastAsia="ＭＳ 明朝" w:cs="Calibri" w:eastAsiaTheme="minorEastAsia" w:csTheme="minorBidi"/>
          <w:b/>
          <w:bCs/>
          <w:color w:val="1E3A8A"/>
          <w:sz w:val="19"/>
          <w:szCs w:val="22"/>
        </w:rPr>
        <w:t xml:space="preserve">Spatial &amp; Offline Leadership: </w:t>
      </w:r>
      <w:r>
        <w:rPr>
          <w:rFonts w:ascii="Calibri" w:hAnsi="Calibri" w:eastAsia="ＭＳ 明朝" w:cs="Calibri" w:eastAsiaTheme="minorEastAsia" w:csTheme="minorBidi"/>
          <w:color w:val="1E293B"/>
          <w:sz w:val="19"/>
          <w:szCs w:val="22"/>
        </w:rPr>
        <w:t>Guarantee sub-second GIS mapping performance, polygon buffering, conflict-free offline replication, and fault-tolerant background data sync.</w:t>
      </w:r>
    </w:p>
    <w:p w14:paraId="4438354F">
      <w:pPr>
        <w:pStyle w:val="ListBullet"/>
        <w:spacing w:before="0" w:after="60" w:line="269" w:lineRule="auto"/>
        <w:ind w:left="360" w:hanging="360"/>
      </w:pPr>
      <w:r>
        <w:rPr>
          <w:rFonts w:ascii="Calibri" w:hAnsi="Calibri" w:eastAsia="ＭＳ 明朝" w:cs="Calibri" w:eastAsiaTheme="minorEastAsia" w:csTheme="minorBidi"/>
          <w:b/>
          <w:bCs/>
          <w:color w:val="1E3A8A"/>
          <w:sz w:val="19"/>
          <w:szCs w:val="22"/>
        </w:rPr>
        <w:t xml:space="preserve">Security &amp; Data Safety: </w:t>
      </w:r>
      <w:r>
        <w:rPr>
          <w:rFonts w:ascii="Calibri" w:hAnsi="Calibri" w:eastAsia="ＭＳ 明朝" w:cs="Calibri" w:eastAsiaTheme="minorEastAsia" w:csTheme="minorBidi"/>
          <w:color w:val="1E293B"/>
          <w:sz w:val="19"/>
          <w:szCs w:val="22"/>
        </w:rPr>
        <w:t>Enforce strict multi-tenant row-level security, tenant data isolation, TLS 1.3 encryption, and zero-data-loss additive database practices.</w:t>
      </w:r>
    </w:p>
    <w:p w14:paraId="07BDB042">
      <w:pPr>
        <w:pStyle w:val="ListBullet"/>
        <w:spacing w:before="0" w:after="60" w:line="269" w:lineRule="auto"/>
        <w:ind w:left="360" w:hanging="360"/>
      </w:pPr>
      <w:r>
        <w:rPr>
          <w:rFonts w:ascii="Calibri" w:hAnsi="Calibri" w:eastAsia="ＭＳ 明朝" w:cs="Calibri" w:eastAsiaTheme="minorEastAsia" w:csTheme="minorBidi"/>
          <w:b/>
          <w:bCs/>
          <w:color w:val="1E3A8A"/>
          <w:sz w:val="19"/>
          <w:szCs w:val="22"/>
        </w:rPr>
        <w:t xml:space="preserve">Engineering Excellence: </w:t>
      </w:r>
      <w:r>
        <w:rPr>
          <w:rFonts w:ascii="Calibri" w:hAnsi="Calibri" w:eastAsia="ＭＳ 明朝" w:cs="Calibri" w:eastAsiaTheme="minorEastAsia" w:csTheme="minorBidi"/>
          <w:color w:val="1E293B"/>
          <w:sz w:val="19"/>
          <w:szCs w:val="22"/>
        </w:rPr>
        <w:t>Mentor senior engineers, oversee CI/CD automation, and ensure 100% test passing rates across all release builds.</w:t>
      </w:r>
    </w:p>
    <w:p w14:paraId="3EF88BFA">
      <w:pPr>
        <w:keepNext/>
        <w:spacing w:before="280" w:after="80"/>
      </w:pPr>
      <w:r>
        <w:rPr>
          <w:rFonts w:ascii="Calibri" w:hAnsi="Calibri" w:eastAsia="ＭＳ 明朝" w:cs="Calibri" w:eastAsiaTheme="minorEastAsia" w:csTheme="minorBidi"/>
          <w:b/>
          <w:bCs/>
          <w:color w:val="1E3A8A"/>
          <w:sz w:val="25"/>
          <w:szCs w:val="22"/>
        </w:rPr>
        <w:t>2.3 Co-Founder / Head of Public Health &amp; Immunization Strategy</w:t>
      </w:r>
    </w:p>
    <w:p w14:paraId="66FE82BE">
      <w:pPr>
        <w:pStyle w:val="ListBullet"/>
        <w:spacing w:before="0" w:after="60" w:line="269" w:lineRule="auto"/>
        <w:ind w:left="360" w:hanging="360"/>
      </w:pPr>
      <w:r>
        <w:rPr>
          <w:rFonts w:ascii="Calibri" w:hAnsi="Calibri" w:eastAsia="ＭＳ 明朝" w:cs="Calibri" w:eastAsiaTheme="minorEastAsia" w:csTheme="minorBidi"/>
          <w:b/>
          <w:bCs/>
          <w:color w:val="1E3A8A"/>
          <w:sz w:val="19"/>
          <w:szCs w:val="22"/>
        </w:rPr>
        <w:t xml:space="preserve">WHO RED &amp; EPI Compliance: </w:t>
      </w:r>
      <w:r>
        <w:rPr>
          <w:rFonts w:ascii="Calibri" w:hAnsi="Calibri" w:eastAsia="ＭＳ 明朝" w:cs="Calibri" w:eastAsiaTheme="minorEastAsia" w:csTheme="minorBidi"/>
          <w:color w:val="1E293B"/>
          <w:sz w:val="19"/>
          <w:szCs w:val="22"/>
        </w:rPr>
        <w:t>Audit every workflow against WHO Reach Every District (RED Tools 1-10), WHO Immunization in Practice (IIP Module 4), and Gavi 5.0 benchmarks.</w:t>
      </w:r>
    </w:p>
    <w:p w14:paraId="78E72840">
      <w:pPr>
        <w:pStyle w:val="ListBullet"/>
        <w:spacing w:before="0" w:after="60" w:line="269" w:lineRule="auto"/>
        <w:ind w:left="360" w:hanging="360"/>
      </w:pPr>
      <w:r>
        <w:rPr>
          <w:rFonts w:ascii="Calibri" w:hAnsi="Calibri" w:eastAsia="ＭＳ 明朝" w:cs="Calibri" w:eastAsiaTheme="minorEastAsia" w:csTheme="minorBidi"/>
          <w:b/>
          <w:bCs/>
          <w:color w:val="1E3A8A"/>
          <w:sz w:val="19"/>
          <w:szCs w:val="22"/>
        </w:rPr>
        <w:t xml:space="preserve">Epidemiological Modeling: </w:t>
      </w:r>
      <w:r>
        <w:rPr>
          <w:rFonts w:ascii="Calibri" w:hAnsi="Calibri" w:eastAsia="ＭＳ 明朝" w:cs="Calibri" w:eastAsiaTheme="minorEastAsia" w:csTheme="minorBidi"/>
          <w:color w:val="1E293B"/>
          <w:sz w:val="19"/>
          <w:szCs w:val="22"/>
        </w:rPr>
        <w:t>Formulate mathematical algorithms for population disaggregation, dropout calculations, antigen wastage rates, and cold-chain capacity sizing.</w:t>
      </w:r>
    </w:p>
    <w:p w14:paraId="3D425346">
      <w:pPr>
        <w:pStyle w:val="ListBullet"/>
        <w:spacing w:before="0" w:after="60" w:line="269" w:lineRule="auto"/>
        <w:ind w:left="360" w:hanging="360"/>
      </w:pPr>
      <w:r>
        <w:rPr>
          <w:rFonts w:ascii="Calibri" w:hAnsi="Calibri" w:eastAsia="ＭＳ 明朝" w:cs="Calibri" w:eastAsiaTheme="minorEastAsia" w:csTheme="minorBidi"/>
          <w:b/>
          <w:bCs/>
          <w:color w:val="1E3A8A"/>
          <w:sz w:val="19"/>
          <w:szCs w:val="22"/>
        </w:rPr>
        <w:t xml:space="preserve">Stakeholder Advisory: </w:t>
      </w:r>
      <w:r>
        <w:rPr>
          <w:rFonts w:ascii="Calibri" w:hAnsi="Calibri" w:eastAsia="ＭＳ 明朝" w:cs="Calibri" w:eastAsiaTheme="minorEastAsia" w:csTheme="minorBidi"/>
          <w:color w:val="1E293B"/>
          <w:sz w:val="19"/>
          <w:szCs w:val="22"/>
        </w:rPr>
        <w:t>Lead technical dialogues with National EPI Technical Working Groups (TWGs) and WHO/UNICEF country office epidemiologists.</w:t>
      </w:r>
    </w:p>
    <w:p w14:paraId="17BEFEA4">
      <w:pPr>
        <w:pStyle w:val="ListBullet"/>
        <w:spacing w:before="0" w:after="60" w:line="269" w:lineRule="auto"/>
        <w:ind w:left="360" w:hanging="360"/>
      </w:pPr>
      <w:r>
        <w:rPr>
          <w:rFonts w:ascii="Calibri" w:hAnsi="Calibri" w:eastAsia="ＭＳ 明朝" w:cs="Calibri" w:eastAsiaTheme="minorEastAsia" w:csTheme="minorBidi"/>
          <w:b/>
          <w:bCs/>
          <w:color w:val="1E3A8A"/>
          <w:sz w:val="19"/>
          <w:szCs w:val="22"/>
        </w:rPr>
        <w:t xml:space="preserve">Impact Evaluation: </w:t>
      </w:r>
      <w:r>
        <w:rPr>
          <w:rFonts w:ascii="Calibri" w:hAnsi="Calibri" w:eastAsia="ＭＳ 明朝" w:cs="Calibri" w:eastAsiaTheme="minorEastAsia" w:csTheme="minorBidi"/>
          <w:color w:val="1E293B"/>
          <w:sz w:val="19"/>
          <w:szCs w:val="22"/>
        </w:rPr>
        <w:t>Design rigorous impact measurement protocols to evaluate reductions in zero-dose children and missed opportunities for vaccination (MOV).</w:t>
      </w:r>
    </w:p>
    <w:p w14:paraId="4067D0D4">
      <w:pPr>
        <w:keepNext/>
        <w:spacing w:before="280" w:after="80"/>
      </w:pPr>
      <w:r>
        <w:rPr>
          <w:rFonts w:ascii="Calibri" w:hAnsi="Calibri" w:eastAsia="ＭＳ 明朝" w:cs="Calibri" w:eastAsiaTheme="minorEastAsia" w:csTheme="minorBidi"/>
          <w:b/>
          <w:bCs/>
          <w:color w:val="1E3A8A"/>
          <w:sz w:val="25"/>
          <w:szCs w:val="22"/>
        </w:rPr>
        <w:t>2.4 Chief Operating Officer (COO) / Head of Deployments</w:t>
      </w:r>
    </w:p>
    <w:p w14:paraId="364F13C2">
      <w:pPr>
        <w:pStyle w:val="ListBullet"/>
        <w:spacing w:before="0" w:after="60" w:line="269" w:lineRule="auto"/>
        <w:ind w:left="360" w:hanging="360"/>
      </w:pPr>
      <w:r>
        <w:rPr>
          <w:rFonts w:ascii="Calibri" w:hAnsi="Calibri" w:eastAsia="ＭＳ 明朝" w:cs="Calibri" w:eastAsiaTheme="minorEastAsia" w:csTheme="minorBidi"/>
          <w:b/>
          <w:bCs/>
          <w:color w:val="1E3A8A"/>
          <w:sz w:val="19"/>
          <w:szCs w:val="22"/>
        </w:rPr>
        <w:t xml:space="preserve">Deployment Roadmaps: </w:t>
      </w:r>
      <w:r>
        <w:rPr>
          <w:rFonts w:ascii="Calibri" w:hAnsi="Calibri" w:eastAsia="ＭＳ 明朝" w:cs="Calibri" w:eastAsiaTheme="minorEastAsia" w:csTheme="minorBidi"/>
          <w:color w:val="1E293B"/>
          <w:sz w:val="19"/>
          <w:szCs w:val="22"/>
        </w:rPr>
        <w:t>Develop and manage country onboarding Gantt charts, tracking milestones from initial GIS data gathering to nationwide sign-off.</w:t>
      </w:r>
    </w:p>
    <w:p w14:paraId="321EC788">
      <w:pPr>
        <w:pStyle w:val="ListBullet"/>
        <w:spacing w:before="0" w:after="60" w:line="269" w:lineRule="auto"/>
        <w:ind w:left="360" w:hanging="360"/>
      </w:pPr>
      <w:r>
        <w:rPr>
          <w:rFonts w:ascii="Calibri" w:hAnsi="Calibri" w:eastAsia="ＭＳ 明朝" w:cs="Calibri" w:eastAsiaTheme="minorEastAsia" w:csTheme="minorBidi"/>
          <w:b/>
          <w:bCs/>
          <w:color w:val="1E3A8A"/>
          <w:sz w:val="19"/>
          <w:szCs w:val="22"/>
        </w:rPr>
        <w:t xml:space="preserve">Field Readiness: </w:t>
      </w:r>
      <w:r>
        <w:rPr>
          <w:rFonts w:ascii="Calibri" w:hAnsi="Calibri" w:eastAsia="ＭＳ 明朝" w:cs="Calibri" w:eastAsiaTheme="minorEastAsia" w:csTheme="minorBidi"/>
          <w:color w:val="1E293B"/>
          <w:sz w:val="19"/>
          <w:szCs w:val="22"/>
        </w:rPr>
        <w:t>Coordinate hardware deployment (tablets, rugged devices, solar battery packs) and local connectivity support for district field teams.</w:t>
      </w:r>
    </w:p>
    <w:p w14:paraId="4A4C3C9B">
      <w:pPr>
        <w:pStyle w:val="ListBullet"/>
        <w:spacing w:before="0" w:after="60" w:line="269" w:lineRule="auto"/>
        <w:ind w:left="360" w:hanging="360"/>
      </w:pPr>
      <w:r>
        <w:rPr>
          <w:rFonts w:ascii="Calibri" w:hAnsi="Calibri" w:eastAsia="ＭＳ 明朝" w:cs="Calibri" w:eastAsiaTheme="minorEastAsia" w:csTheme="minorBidi"/>
          <w:b/>
          <w:bCs/>
          <w:color w:val="1E3A8A"/>
          <w:sz w:val="19"/>
          <w:szCs w:val="22"/>
        </w:rPr>
        <w:t xml:space="preserve">Budget Oversight: </w:t>
      </w:r>
      <w:r>
        <w:rPr>
          <w:rFonts w:ascii="Calibri" w:hAnsi="Calibri" w:eastAsia="ＭＳ 明朝" w:cs="Calibri" w:eastAsiaTheme="minorEastAsia" w:csTheme="minorBidi"/>
          <w:color w:val="1E293B"/>
          <w:sz w:val="19"/>
          <w:szCs w:val="22"/>
        </w:rPr>
        <w:t>Oversee country deployment operational budgets, consultant field logistics, and compliance with donor accounting guidelines.</w:t>
      </w:r>
    </w:p>
    <w:p w14:paraId="68E39E20">
      <w:pPr>
        <w:pStyle w:val="ListBullet"/>
        <w:spacing w:before="0" w:after="60" w:line="269" w:lineRule="auto"/>
        <w:ind w:left="360" w:hanging="360"/>
      </w:pPr>
      <w:r>
        <w:rPr>
          <w:rFonts w:ascii="Calibri" w:hAnsi="Calibri" w:eastAsia="ＭＳ 明朝" w:cs="Calibri" w:eastAsiaTheme="minorEastAsia" w:csTheme="minorBidi"/>
          <w:b/>
          <w:bCs/>
          <w:color w:val="1E3A8A"/>
          <w:sz w:val="19"/>
          <w:szCs w:val="22"/>
        </w:rPr>
        <w:t xml:space="preserve">Operational Coordination: </w:t>
      </w:r>
      <w:r>
        <w:rPr>
          <w:rFonts w:ascii="Calibri" w:hAnsi="Calibri" w:eastAsia="ＭＳ 明朝" w:cs="Calibri" w:eastAsiaTheme="minorEastAsia" w:csTheme="minorBidi"/>
          <w:color w:val="1E293B"/>
          <w:sz w:val="19"/>
          <w:szCs w:val="22"/>
        </w:rPr>
        <w:t>Ensure tight cross-functional synergy between software engineers, public health advisors, and in-country field deployment teams.</w:t>
      </w:r>
    </w:p>
    <w:p w14:paraId="5103EFE6">
      <w:pPr>
        <w:keepNext/>
        <w:spacing w:before="360" w:after="120"/>
      </w:pPr>
      <w:r>
        <w:rPr>
          <w:rFonts w:ascii="Calibri" w:hAnsi="Calibri" w:eastAsia="ＭＳ 明朝" w:cs="Calibri" w:eastAsiaTheme="minorEastAsia" w:csTheme="minorBidi"/>
          <w:b/>
          <w:bCs/>
          <w:color w:val="0F172A"/>
          <w:sz w:val="30"/>
          <w:szCs w:val="22"/>
        </w:rPr>
        <w:t>3. Specialized Consultants Terms of Reference (ToR)</w:t>
      </w:r>
    </w:p>
    <w:tbl>
      <w:tblPr>
        <w:tblW w:w="0" w:type="auto"/>
        <w:jc w:val="center"/>
        <w:tblBorders>
          <w:top w:val="single" w:sz="8" w:space="0" w:color="1E3A8A"/>
          <w:left w:val="none"/>
          <w:bottom w:val="single" w:sz="8" w:space="0" w:color="1E3A8A"/>
          <w:right w:val="none"/>
          <w:insideH w:val="single" w:sz="8" w:space="0" w:color="1E3A8A"/>
          <w:insideV w:val="none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592"/>
        <w:gridCol w:w="3168"/>
        <w:gridCol w:w="3600"/>
      </w:tblGrid>
      <w:tr>
        <w:tc>
          <w:tcPr>
            <w:tcW w:w="3264" w:type="dxa"/>
            <w:tcBorders>
              <w:top w:val="single" w:sz="8" w:space="0" w:color="1E3A8A"/>
              <w:left w:val="none"/>
              <w:bottom w:val="single" w:sz="8" w:space="0" w:color="1E3A8A"/>
              <w:right w:val="none"/>
            </w:tcBorders>
            <w:shd w:val="clear" w:fill="0F172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13AD7D54">
            <w:pPr>
              <w:spacing w:before="40" w:after="4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color w:val="FFFFFF"/>
                <w:sz w:val="19"/>
                <w:szCs w:val="22"/>
              </w:rPr>
              <w:t>Consultant Role</w:t>
            </w:r>
          </w:p>
        </w:tc>
        <w:tc>
          <w:tcPr>
            <w:tcW w:w="3264" w:type="dxa"/>
            <w:tcBorders>
              <w:top w:val="single" w:sz="8" w:space="0" w:color="1E3A8A"/>
              <w:left w:val="none"/>
              <w:bottom w:val="single" w:sz="8" w:space="0" w:color="1E3A8A"/>
              <w:right w:val="none"/>
            </w:tcBorders>
            <w:shd w:val="clear" w:fill="0F172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5942A837">
            <w:pPr>
              <w:spacing w:before="40" w:after="4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color w:val="FFFFFF"/>
                <w:sz w:val="19"/>
                <w:szCs w:val="22"/>
              </w:rPr>
              <w:t>Core Scope of Work</w:t>
            </w:r>
          </w:p>
        </w:tc>
        <w:tc>
          <w:tcPr>
            <w:tcW w:w="3264" w:type="dxa"/>
            <w:tcBorders>
              <w:top w:val="single" w:sz="8" w:space="0" w:color="1E3A8A"/>
              <w:left w:val="none"/>
              <w:bottom w:val="single" w:sz="8" w:space="0" w:color="1E3A8A"/>
              <w:right w:val="none"/>
            </w:tcBorders>
            <w:shd w:val="clear" w:fill="0F172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50F8E1F">
            <w:pPr>
              <w:spacing w:before="40" w:after="4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color w:val="FFFFFF"/>
                <w:sz w:val="19"/>
                <w:szCs w:val="22"/>
              </w:rPr>
              <w:t>Key Deliverables</w:t>
            </w:r>
          </w:p>
        </w:tc>
      </w:tr>
      <w:tr>
        <w:tc>
          <w:tcPr>
            <w:tcW w:w="3264" w:type="dxa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  <w:shd w:val="clear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F37BE4">
            <w:pPr>
              <w:spacing w:before="20" w:after="2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color w:val="1E293B"/>
                <w:sz w:val="19"/>
                <w:szCs w:val="22"/>
              </w:rPr>
              <w:t>Senior Immunization Policy Consultant</w:t>
            </w:r>
          </w:p>
        </w:tc>
        <w:tc>
          <w:tcPr>
            <w:tcW w:w="3264" w:type="dxa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  <w:shd w:val="clear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CEC558">
            <w:pPr>
              <w:spacing w:before="20" w:after="2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9"/>
                <w:szCs w:val="22"/>
              </w:rPr>
              <w:t>Review national EPI schedules, local antigen policies, and disease calendars to configure country tenants.</w:t>
            </w:r>
          </w:p>
        </w:tc>
        <w:tc>
          <w:tcPr>
            <w:tcW w:w="3264" w:type="dxa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  <w:shd w:val="clear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B6ECBE">
            <w:pPr>
              <w:spacing w:before="20" w:after="2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color w:val="1E3A8A"/>
                <w:sz w:val="19"/>
                <w:szCs w:val="22"/>
              </w:rPr>
              <w:t>Country Immunization Matrix, Readiness Assessment Report, and Ministerial Policy Brief.</w:t>
            </w:r>
          </w:p>
        </w:tc>
      </w:tr>
      <w:tr>
        <w:tc>
          <w:tcPr>
            <w:tcW w:w="3264" w:type="dxa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  <w:shd w:val="clear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0E5AAA">
            <w:pPr>
              <w:spacing w:before="20" w:after="2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color w:val="1E293B"/>
                <w:sz w:val="19"/>
                <w:szCs w:val="22"/>
              </w:rPr>
              <w:t>GIS &amp; Spatial Analytics Specialist</w:t>
            </w:r>
          </w:p>
        </w:tc>
        <w:tc>
          <w:tcPr>
            <w:tcW w:w="3264" w:type="dxa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  <w:shd w:val="clear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002D48">
            <w:pPr>
              <w:spacing w:before="20" w:after="2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9"/>
                <w:szCs w:val="22"/>
              </w:rPr>
              <w:t>Harmonize administrative boundary Shapefiles (Admin 0-4), village coordinates, and 100m WorldPop rasters.</w:t>
            </w:r>
          </w:p>
        </w:tc>
        <w:tc>
          <w:tcPr>
            <w:tcW w:w="3264" w:type="dxa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  <w:shd w:val="clear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A69CFC">
            <w:pPr>
              <w:spacing w:before="20" w:after="2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color w:val="1E3A8A"/>
                <w:sz w:val="19"/>
                <w:szCs w:val="22"/>
              </w:rPr>
              <w:t>Harmonized National Spatial GeoJSON Registry, Overlap Conflict Audit, Printable Catchment Maps.</w:t>
            </w:r>
          </w:p>
        </w:tc>
      </w:tr>
      <w:tr>
        <w:tc>
          <w:tcPr>
            <w:tcW w:w="3264" w:type="dxa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  <w:shd w:val="clear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6D006B">
            <w:pPr>
              <w:spacing w:before="20" w:after="2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color w:val="1E293B"/>
                <w:sz w:val="19"/>
                <w:szCs w:val="22"/>
              </w:rPr>
              <w:t>Health Systems Interoperability Specialist</w:t>
            </w:r>
          </w:p>
        </w:tc>
        <w:tc>
          <w:tcPr>
            <w:tcW w:w="3264" w:type="dxa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  <w:shd w:val="clear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A2DDD6">
            <w:pPr>
              <w:spacing w:before="20" w:after="2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9"/>
                <w:szCs w:val="22"/>
              </w:rPr>
              <w:t>Architect bi-directional sync between VaxPlan and national DHIS2 instances and electronic immunization registries.</w:t>
            </w:r>
          </w:p>
        </w:tc>
        <w:tc>
          <w:tcPr>
            <w:tcW w:w="3264" w:type="dxa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  <w:shd w:val="clear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4FCDF2">
            <w:pPr>
              <w:spacing w:before="20" w:after="2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color w:val="1E3A8A"/>
                <w:sz w:val="19"/>
                <w:szCs w:val="22"/>
              </w:rPr>
              <w:t>OpenHIE/FHIR Data Exchange Specification, Validated DHIS2 Export Adapter, Integration Test Report.</w:t>
            </w:r>
          </w:p>
        </w:tc>
      </w:tr>
      <w:tr>
        <w:tc>
          <w:tcPr>
            <w:tcW w:w="3264" w:type="dxa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  <w:shd w:val="clear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ECC2C7">
            <w:pPr>
              <w:spacing w:before="20" w:after="2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color w:val="1E293B"/>
                <w:sz w:val="19"/>
                <w:szCs w:val="22"/>
              </w:rPr>
              <w:t>Health Economics &amp; M&amp;E Specialist</w:t>
            </w:r>
          </w:p>
        </w:tc>
        <w:tc>
          <w:tcPr>
            <w:tcW w:w="3264" w:type="dxa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  <w:shd w:val="clear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6A4AAC">
            <w:pPr>
              <w:spacing w:before="20" w:after="2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9"/>
                <w:szCs w:val="22"/>
              </w:rPr>
              <w:t>Evaluate logistics cost reductions, transport optimization, and vaccine wastage prevention across deployment districts.</w:t>
            </w:r>
          </w:p>
        </w:tc>
        <w:tc>
          <w:tcPr>
            <w:tcW w:w="3264" w:type="dxa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  <w:shd w:val="clear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56FD65">
            <w:pPr>
              <w:spacing w:before="20" w:after="2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color w:val="1E3A8A"/>
                <w:sz w:val="19"/>
                <w:szCs w:val="22"/>
              </w:rPr>
              <w:t>Cost-Effectiveness Evaluation Report, Zero-Dose Reduction Impact Study, and Donor Grant Audit File.</w:t>
            </w:r>
          </w:p>
        </w:tc>
      </w:tr>
    </w:tbl>
    <w:p w14:paraId="60B0E990">
      <w:pPr>
        <w:spacing w:after="160"/>
      </w:pPr>
    </w:p>
    <w:p w14:paraId="163CE755">
      <w:pPr>
        <w:keepNext/>
        <w:spacing w:before="360" w:after="120"/>
      </w:pPr>
      <w:r>
        <w:rPr>
          <w:rFonts w:ascii="Calibri" w:hAnsi="Calibri" w:eastAsia="ＭＳ 明朝" w:cs="Calibri" w:eastAsiaTheme="minorEastAsia" w:csTheme="minorBidi"/>
          <w:b/>
          <w:bCs/>
          <w:color w:val="0F172A"/>
          <w:sz w:val="30"/>
          <w:szCs w:val="22"/>
        </w:rPr>
        <w:t>4. Core Employee Mandates (ToR)</w:t>
      </w:r>
    </w:p>
    <w:p w14:paraId="6A2BEF38">
      <w:pPr>
        <w:pStyle w:val="ListBullet"/>
        <w:spacing w:before="0" w:after="60" w:line="269" w:lineRule="auto"/>
        <w:ind w:left="360" w:hanging="360"/>
      </w:pPr>
      <w:r>
        <w:rPr>
          <w:rFonts w:ascii="Calibri" w:hAnsi="Calibri" w:eastAsia="ＭＳ 明朝" w:cs="Calibri" w:eastAsiaTheme="minorEastAsia" w:csTheme="minorBidi"/>
          <w:b/>
          <w:bCs/>
          <w:color w:val="1E3A8A"/>
          <w:sz w:val="19"/>
          <w:szCs w:val="22"/>
        </w:rPr>
        <w:t xml:space="preserve">Lead Full-Stack Engineer: </w:t>
      </w:r>
      <w:r>
        <w:rPr>
          <w:rFonts w:ascii="Calibri" w:hAnsi="Calibri" w:eastAsia="ＭＳ 明朝" w:cs="Calibri" w:eastAsiaTheme="minorEastAsia" w:csTheme="minorBidi"/>
          <w:color w:val="1E293B"/>
          <w:sz w:val="19"/>
          <w:szCs w:val="22"/>
        </w:rPr>
        <w:t>Lead backend and API engineering in TypeScript/Node.js; optimize PostGIS spatial queries; maintain 90%+ automated test coverage; ensure backwards-compatible schema evolution.</w:t>
      </w:r>
    </w:p>
    <w:p w14:paraId="37C6A397">
      <w:pPr>
        <w:pStyle w:val="ListBullet"/>
        <w:spacing w:before="0" w:after="60" w:line="269" w:lineRule="auto"/>
        <w:ind w:left="360" w:hanging="360"/>
      </w:pPr>
      <w:r>
        <w:rPr>
          <w:rFonts w:ascii="Calibri" w:hAnsi="Calibri" w:eastAsia="ＭＳ 明朝" w:cs="Calibri" w:eastAsiaTheme="minorEastAsia" w:csTheme="minorBidi"/>
          <w:b/>
          <w:bCs/>
          <w:color w:val="1E3A8A"/>
          <w:sz w:val="19"/>
          <w:szCs w:val="22"/>
        </w:rPr>
        <w:t xml:space="preserve">GIS &amp; Offline Frontend Engineer: </w:t>
      </w:r>
      <w:r>
        <w:rPr>
          <w:rFonts w:ascii="Calibri" w:hAnsi="Calibri" w:eastAsia="ＭＳ 明朝" w:cs="Calibri" w:eastAsiaTheme="minorEastAsia" w:csTheme="minorBidi"/>
          <w:color w:val="1E293B"/>
          <w:sz w:val="19"/>
          <w:szCs w:val="22"/>
        </w:rPr>
        <w:t>Build high-performance mapping interfaces (Leaflet/MapLibre); optimize offline IndexedDB caching; ensure 60fps responsiveness on low-cost Android hardware.</w:t>
      </w:r>
    </w:p>
    <w:p w14:paraId="51DD0C17">
      <w:pPr>
        <w:pStyle w:val="ListBullet"/>
        <w:spacing w:before="0" w:after="60" w:line="269" w:lineRule="auto"/>
        <w:ind w:left="360" w:hanging="360"/>
      </w:pPr>
      <w:r>
        <w:rPr>
          <w:rFonts w:ascii="Calibri" w:hAnsi="Calibri" w:eastAsia="ＭＳ 明朝" w:cs="Calibri" w:eastAsiaTheme="minorEastAsia" w:csTheme="minorBidi"/>
          <w:b/>
          <w:bCs/>
          <w:color w:val="1E3A8A"/>
          <w:sz w:val="19"/>
          <w:szCs w:val="22"/>
        </w:rPr>
        <w:t xml:space="preserve">Field Implementation &amp; Training Lead: </w:t>
      </w:r>
      <w:r>
        <w:rPr>
          <w:rFonts w:ascii="Calibri" w:hAnsi="Calibri" w:eastAsia="ＭＳ 明朝" w:cs="Calibri" w:eastAsiaTheme="minorEastAsia" w:csTheme="minorBidi"/>
          <w:color w:val="1E293B"/>
          <w:sz w:val="19"/>
          <w:szCs w:val="22"/>
        </w:rPr>
        <w:t>Conduct hands-on training for district health teams and nurses; troubleshoot microplanning cycles; capture user friction points and translate into engineering tickets.</w:t>
      </w:r>
    </w:p>
    <w:p w14:paraId="703D232B">
      <w:pPr>
        <w:pStyle w:val="ListBullet"/>
        <w:spacing w:before="0" w:after="60" w:line="269" w:lineRule="auto"/>
        <w:ind w:left="360" w:hanging="360"/>
      </w:pPr>
      <w:r>
        <w:rPr>
          <w:rFonts w:ascii="Calibri" w:hAnsi="Calibri" w:eastAsia="ＭＳ 明朝" w:cs="Calibri" w:eastAsiaTheme="minorEastAsia" w:csTheme="minorBidi"/>
          <w:b/>
          <w:bCs/>
          <w:color w:val="1E3A8A"/>
          <w:sz w:val="19"/>
          <w:szCs w:val="22"/>
        </w:rPr>
        <w:t xml:space="preserve">Quality Assurance &amp; Data Integrity Engineer: </w:t>
      </w:r>
      <w:r>
        <w:rPr>
          <w:rFonts w:ascii="Calibri" w:hAnsi="Calibri" w:eastAsia="ＭＳ 明朝" w:cs="Calibri" w:eastAsiaTheme="minorEastAsia" w:csTheme="minorBidi"/>
          <w:color w:val="1E293B"/>
          <w:sz w:val="19"/>
          <w:szCs w:val="22"/>
        </w:rPr>
        <w:t>Execute end-to-end regression test suites; validate mathematical forecasting across all currency and cohort variations; conduct offline disconnect/reconnect stress tests.</w:t>
      </w:r>
    </w:p>
    <w:p w14:paraId="03673C45">
      <w:pPr>
        <w:keepNext/>
        <w:spacing w:before="360" w:after="120"/>
      </w:pPr>
      <w:r>
        <w:rPr>
          <w:rFonts w:ascii="Calibri" w:hAnsi="Calibri" w:eastAsia="ＭＳ 明朝" w:cs="Calibri" w:eastAsiaTheme="minorEastAsia" w:csTheme="minorBidi"/>
          <w:b/>
          <w:bCs/>
          <w:color w:val="0F172A"/>
          <w:sz w:val="30"/>
          <w:szCs w:val="22"/>
        </w:rPr>
        <w:t>5. Standard Operating Procedures (SOPs) for Team Operations</w:t>
      </w:r>
    </w:p>
    <w:p w14:paraId="57F6CC48">
      <w:pPr>
        <w:keepNext/>
        <w:spacing w:before="280" w:after="80"/>
      </w:pPr>
      <w:r>
        <w:rPr>
          <w:rFonts w:ascii="Calibri" w:hAnsi="Calibri" w:eastAsia="ＭＳ 明朝" w:cs="Calibri" w:eastAsiaTheme="minorEastAsia" w:csTheme="minorBidi"/>
          <w:b/>
          <w:bCs/>
          <w:color w:val="1E3A8A"/>
          <w:sz w:val="25"/>
          <w:szCs w:val="22"/>
        </w:rPr>
        <w:t>5.1 Non-Destructive Deployment &amp; Zero-Data-Loss SOP</w:t>
      </w:r>
    </w:p>
    <w:p w14:paraId="183F5E99">
      <w:pPr>
        <w:pStyle w:val="ListBullet"/>
        <w:spacing w:before="0" w:after="60" w:line="269" w:lineRule="auto"/>
        <w:ind w:left="360" w:hanging="360"/>
      </w:pPr>
      <w:r>
        <w:rPr>
          <w:rFonts w:ascii="Calibri" w:hAnsi="Calibri" w:eastAsia="ＭＳ 明朝" w:cs="Calibri" w:eastAsiaTheme="minorEastAsia" w:csTheme="minorBidi"/>
          <w:b/>
          <w:bCs/>
          <w:color w:val="1E3A8A"/>
          <w:sz w:val="19"/>
          <w:szCs w:val="22"/>
        </w:rPr>
        <w:t xml:space="preserve">Protected Configurations: </w:t>
      </w:r>
      <w:r>
        <w:rPr>
          <w:rFonts w:ascii="Calibri" w:hAnsi="Calibri" w:eastAsia="ＭＳ 明朝" w:cs="Calibri" w:eastAsiaTheme="minorEastAsia" w:csTheme="minorBidi"/>
          <w:color w:val="1E293B"/>
          <w:sz w:val="19"/>
          <w:szCs w:val="22"/>
        </w:rPr>
        <w:t>Production environment files (.env), Nginx server configurations, and process manager settings (PM2) are protected assets and must NEVER be overwritten by deployment scripts.</w:t>
      </w:r>
    </w:p>
    <w:p w14:paraId="47E3DC0F">
      <w:pPr>
        <w:pStyle w:val="ListBullet"/>
        <w:spacing w:before="0" w:after="60" w:line="269" w:lineRule="auto"/>
        <w:ind w:left="360" w:hanging="360"/>
      </w:pPr>
      <w:r>
        <w:rPr>
          <w:rFonts w:ascii="Calibri" w:hAnsi="Calibri" w:eastAsia="ＭＳ 明朝" w:cs="Calibri" w:eastAsiaTheme="minorEastAsia" w:csTheme="minorBidi"/>
          <w:b/>
          <w:bCs/>
          <w:color w:val="1E3A8A"/>
          <w:sz w:val="19"/>
          <w:szCs w:val="22"/>
        </w:rPr>
        <w:t xml:space="preserve">Additive Schema Evolution: </w:t>
      </w:r>
      <w:r>
        <w:rPr>
          <w:rFonts w:ascii="Calibri" w:hAnsi="Calibri" w:eastAsia="ＭＳ 明朝" w:cs="Calibri" w:eastAsiaTheme="minorEastAsia" w:csTheme="minorBidi"/>
          <w:color w:val="1E293B"/>
          <w:sz w:val="19"/>
          <w:szCs w:val="22"/>
        </w:rPr>
        <w:t>Destructive SQL commands (DROP TABLE, TRUNCATE, destructive column drops) are strictly forbidden in production. All schema evolution must be additive, nullable, and backward-compatible.</w:t>
      </w:r>
    </w:p>
    <w:p w14:paraId="043746B7">
      <w:pPr>
        <w:pStyle w:val="ListBullet"/>
        <w:spacing w:before="0" w:after="60" w:line="269" w:lineRule="auto"/>
        <w:ind w:left="360" w:hanging="360"/>
      </w:pPr>
      <w:r>
        <w:rPr>
          <w:rFonts w:ascii="Calibri" w:hAnsi="Calibri" w:eastAsia="ＭＳ 明朝" w:cs="Calibri" w:eastAsiaTheme="minorEastAsia" w:csTheme="minorBidi"/>
          <w:b/>
          <w:bCs/>
          <w:color w:val="1E3A8A"/>
          <w:sz w:val="19"/>
          <w:szCs w:val="22"/>
        </w:rPr>
        <w:t xml:space="preserve">Immutable Snapshot Versioning: </w:t>
      </w:r>
      <w:r>
        <w:rPr>
          <w:rFonts w:ascii="Calibri" w:hAnsi="Calibri" w:eastAsia="ＭＳ 明朝" w:cs="Calibri" w:eastAsiaTheme="minorEastAsia" w:csTheme="minorBidi"/>
          <w:color w:val="1E293B"/>
          <w:sz w:val="19"/>
          <w:szCs w:val="22"/>
        </w:rPr>
        <w:t>Every microplan must generate an immutable version record whenever opened, edited, saved, submitted, or approved.</w:t>
      </w:r>
    </w:p>
    <w:p w14:paraId="6554A24C">
      <w:pPr>
        <w:pStyle w:val="ListBullet"/>
        <w:spacing w:before="0" w:after="60" w:line="269" w:lineRule="auto"/>
        <w:ind w:left="360" w:hanging="360"/>
      </w:pPr>
      <w:r>
        <w:rPr>
          <w:rFonts w:ascii="Calibri" w:hAnsi="Calibri" w:eastAsia="ＭＳ 明朝" w:cs="Calibri" w:eastAsiaTheme="minorEastAsia" w:csTheme="minorBidi"/>
          <w:b/>
          <w:bCs/>
          <w:color w:val="1E3A8A"/>
          <w:sz w:val="19"/>
          <w:szCs w:val="22"/>
        </w:rPr>
        <w:t xml:space="preserve">Pre-Release Gates: </w:t>
      </w:r>
      <w:r>
        <w:rPr>
          <w:rFonts w:ascii="Calibri" w:hAnsi="Calibri" w:eastAsia="ＭＳ 明朝" w:cs="Calibri" w:eastAsiaTheme="minorEastAsia" w:csTheme="minorBidi"/>
          <w:color w:val="1E293B"/>
          <w:sz w:val="19"/>
          <w:szCs w:val="22"/>
        </w:rPr>
        <w:t>Every software release must achieve 0 TypeScript errors (npm run check), 100% test pass rate (npm test), and a clean production build (npm run build) prior to release.</w:t>
      </w:r>
    </w:p>
    <w:p w14:paraId="41CAA640">
      <w:pPr>
        <w:keepNext/>
        <w:spacing w:before="280" w:after="80"/>
      </w:pPr>
      <w:r>
        <w:rPr>
          <w:rFonts w:ascii="Calibri" w:hAnsi="Calibri" w:eastAsia="ＭＳ 明朝" w:cs="Calibri" w:eastAsiaTheme="minorEastAsia" w:csTheme="minorBidi"/>
          <w:b/>
          <w:bCs/>
          <w:color w:val="1E3A8A"/>
          <w:sz w:val="25"/>
          <w:szCs w:val="22"/>
        </w:rPr>
        <w:t>5.2 Microplan Governance &amp; Quality Assurance SOP</w:t>
      </w:r>
    </w:p>
    <w:p w14:paraId="0500FD43">
      <w:pPr>
        <w:pStyle w:val="ListBullet"/>
        <w:spacing w:before="0" w:after="60" w:line="269" w:lineRule="auto"/>
        <w:ind w:left="360" w:hanging="360"/>
      </w:pPr>
      <w:r>
        <w:rPr>
          <w:rFonts w:ascii="Calibri" w:hAnsi="Calibri" w:eastAsia="ＭＳ 明朝" w:cs="Calibri" w:eastAsiaTheme="minorEastAsia" w:csTheme="minorBidi"/>
          <w:b/>
          <w:bCs/>
          <w:color w:val="1E3A8A"/>
          <w:sz w:val="19"/>
          <w:szCs w:val="22"/>
        </w:rPr>
        <w:t xml:space="preserve">7-Day Review Window: </w:t>
      </w:r>
      <w:r>
        <w:rPr>
          <w:rFonts w:ascii="Calibri" w:hAnsi="Calibri" w:eastAsia="ＭＳ 明朝" w:cs="Calibri" w:eastAsiaTheme="minorEastAsia" w:csTheme="minorBidi"/>
          <w:color w:val="1E293B"/>
          <w:sz w:val="19"/>
          <w:szCs w:val="22"/>
        </w:rPr>
        <w:t>A minimum review window (default 7 days) is enforced between plan submission and approval to guarantee thorough desk reviews by district supervisors.</w:t>
      </w:r>
    </w:p>
    <w:p w14:paraId="6011E648">
      <w:pPr>
        <w:pStyle w:val="ListBullet"/>
        <w:spacing w:before="0" w:after="60" w:line="269" w:lineRule="auto"/>
        <w:ind w:left="360" w:hanging="360"/>
      </w:pPr>
      <w:r>
        <w:rPr>
          <w:rFonts w:ascii="Calibri" w:hAnsi="Calibri" w:eastAsia="ＭＳ 明朝" w:cs="Calibri" w:eastAsiaTheme="minorEastAsia" w:csTheme="minorBidi"/>
          <w:b/>
          <w:bCs/>
          <w:color w:val="1E3A8A"/>
          <w:sz w:val="19"/>
          <w:szCs w:val="22"/>
        </w:rPr>
        <w:t xml:space="preserve">Session Implementation Lead-Time: </w:t>
      </w:r>
      <w:r>
        <w:rPr>
          <w:rFonts w:ascii="Calibri" w:hAnsi="Calibri" w:eastAsia="ＭＳ 明朝" w:cs="Calibri" w:eastAsiaTheme="minorEastAsia" w:csTheme="minorBidi"/>
          <w:color w:val="1E293B"/>
          <w:sz w:val="19"/>
          <w:szCs w:val="22"/>
        </w:rPr>
        <w:t>All vaccination sessions must be scheduled to occur at least X days (default 7 days) after plan approval, ensuring vaccines are requisitioned and distributed.</w:t>
      </w:r>
    </w:p>
    <w:p w14:paraId="1015E7E9">
      <w:pPr>
        <w:pStyle w:val="ListBullet"/>
        <w:spacing w:before="0" w:after="60" w:line="269" w:lineRule="auto"/>
        <w:ind w:left="360" w:hanging="360"/>
      </w:pPr>
      <w:r>
        <w:rPr>
          <w:rFonts w:ascii="Calibri" w:hAnsi="Calibri" w:eastAsia="ＭＳ 明朝" w:cs="Calibri" w:eastAsiaTheme="minorEastAsia" w:csTheme="minorBidi"/>
          <w:b/>
          <w:bCs/>
          <w:color w:val="1E3A8A"/>
          <w:sz w:val="19"/>
          <w:szCs w:val="22"/>
        </w:rPr>
        <w:t xml:space="preserve">Supervision Action Register: </w:t>
      </w:r>
      <w:r>
        <w:rPr>
          <w:rFonts w:ascii="Calibri" w:hAnsi="Calibri" w:eastAsia="ＭＳ 明朝" w:cs="Calibri" w:eastAsiaTheme="minorEastAsia" w:csTheme="minorBidi"/>
          <w:color w:val="1E293B"/>
          <w:sz w:val="19"/>
          <w:szCs w:val="22"/>
        </w:rPr>
        <w:t>Supervisors must use the standardized WHO RED supervision checklist during quarterly supportive supervision visits, with findings tied to action items.</w:t>
      </w:r>
    </w:p>
    <w:p w14:paraId="474DBD6E">
      <w:pPr>
        <w:keepNext/>
        <w:spacing w:before="360" w:after="120"/>
      </w:pPr>
      <w:r>
        <w:rPr>
          <w:rFonts w:ascii="Calibri" w:hAnsi="Calibri" w:eastAsia="ＭＳ 明朝" w:cs="Calibri" w:eastAsiaTheme="minorEastAsia" w:csTheme="minorBidi"/>
          <w:b/>
          <w:bCs/>
          <w:color w:val="0F172A"/>
          <w:sz w:val="30"/>
          <w:szCs w:val="22"/>
        </w:rPr>
        <w:t>6. Code of Conduct, Ethics &amp; Data Privacy</w:t>
      </w:r>
    </w:p>
    <w:p w14:paraId="6EB6C272">
      <w:pPr>
        <w:spacing w:before="0" w:after="120" w:line="276" w:lineRule="auto"/>
      </w:pPr>
      <w:r>
        <w:rPr>
          <w:rFonts w:ascii="Calibri" w:hAnsi="Calibri" w:eastAsia="ＭＳ 明朝" w:cs="Calibri" w:eastAsiaTheme="minorEastAsia" w:csTheme="minorBidi"/>
          <w:color w:val="1E293B"/>
          <w:sz w:val="20"/>
          <w:szCs w:val="22"/>
        </w:rPr>
        <w:t>All employees, contractors, and consultants must adhere to strict ethical standards:</w:t>
      </w:r>
    </w:p>
    <w:p w14:paraId="5965FAE0">
      <w:pPr>
        <w:pStyle w:val="ListBullet"/>
        <w:spacing w:before="0" w:after="60" w:line="269" w:lineRule="auto"/>
        <w:ind w:left="360" w:hanging="360"/>
      </w:pPr>
      <w:r>
        <w:rPr>
          <w:rFonts w:ascii="Calibri" w:hAnsi="Calibri" w:eastAsia="ＭＳ 明朝" w:cs="Calibri" w:eastAsiaTheme="minorEastAsia" w:csTheme="minorBidi"/>
          <w:b/>
          <w:bCs/>
          <w:color w:val="1E3A8A"/>
          <w:sz w:val="19"/>
          <w:szCs w:val="22"/>
        </w:rPr>
        <w:t xml:space="preserve">Patient Anonymity: </w:t>
      </w:r>
      <w:r>
        <w:rPr>
          <w:rFonts w:ascii="Calibri" w:hAnsi="Calibri" w:eastAsia="ＭＳ 明朝" w:cs="Calibri" w:eastAsiaTheme="minorEastAsia" w:csTheme="minorBidi"/>
          <w:color w:val="1E293B"/>
          <w:sz w:val="19"/>
          <w:szCs w:val="22"/>
        </w:rPr>
        <w:t>Individual patient identities and child records are strictly protected health data and must never be shared or commercialized.</w:t>
      </w:r>
    </w:p>
    <w:p w14:paraId="2226A52B">
      <w:pPr>
        <w:pStyle w:val="ListBullet"/>
        <w:spacing w:before="0" w:after="60" w:line="269" w:lineRule="auto"/>
        <w:ind w:left="360" w:hanging="360"/>
      </w:pPr>
      <w:r>
        <w:rPr>
          <w:rFonts w:ascii="Calibri" w:hAnsi="Calibri" w:eastAsia="ＭＳ 明朝" w:cs="Calibri" w:eastAsiaTheme="minorEastAsia" w:csTheme="minorBidi"/>
          <w:b/>
          <w:bCs/>
          <w:color w:val="1E3A8A"/>
          <w:sz w:val="19"/>
          <w:szCs w:val="22"/>
        </w:rPr>
        <w:t xml:space="preserve">Conflict of Interest: </w:t>
      </w:r>
      <w:r>
        <w:rPr>
          <w:rFonts w:ascii="Calibri" w:hAnsi="Calibri" w:eastAsia="ＭＳ 明朝" w:cs="Calibri" w:eastAsiaTheme="minorEastAsia" w:csTheme="minorBidi"/>
          <w:color w:val="1E293B"/>
          <w:sz w:val="19"/>
          <w:szCs w:val="22"/>
        </w:rPr>
        <w:t>Team members must disclose any commercial or advisory interests with pharmaceutical or medical equipment manufacturers.</w:t>
      </w:r>
    </w:p>
    <w:p w14:paraId="4B881960">
      <w:pPr>
        <w:pStyle w:val="ListBullet"/>
        <w:spacing w:before="0" w:after="60" w:line="269" w:lineRule="auto"/>
        <w:ind w:left="360" w:hanging="360"/>
      </w:pPr>
      <w:r>
        <w:rPr>
          <w:rFonts w:ascii="Calibri" w:hAnsi="Calibri" w:eastAsia="ＭＳ 明朝" w:cs="Calibri" w:eastAsiaTheme="minorEastAsia" w:csTheme="minorBidi"/>
          <w:b/>
          <w:bCs/>
          <w:color w:val="1E3A8A"/>
          <w:sz w:val="19"/>
          <w:szCs w:val="22"/>
        </w:rPr>
        <w:t xml:space="preserve">Frontline Respect: </w:t>
      </w:r>
      <w:r>
        <w:rPr>
          <w:rFonts w:ascii="Calibri" w:hAnsi="Calibri" w:eastAsia="ＭＳ 明朝" w:cs="Calibri" w:eastAsiaTheme="minorEastAsia" w:csTheme="minorBidi"/>
          <w:color w:val="1E293B"/>
          <w:sz w:val="19"/>
          <w:szCs w:val="22"/>
        </w:rPr>
        <w:t>We view community health volunteers and nurses as co-creators of VaxPlan. We listen with humility and act rapidly on frontline feedback.</w:t>
      </w:r>
    </w:p>
    <w:sectPr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>
    <w:pPr>
      <w:pStyle w:val="Footer"/>
      <w:jc w:val="center"/>
    </w:pPr>
    <w:r>
      <w:rPr>
        <w:rFonts w:ascii="Calibri" w:hAnsi="Calibri"/>
        <w:color w:val="64748B"/>
        <w:sz w:val="16"/>
      </w:rPr>
      <w:t>VaxPlan © 2026 • Confidential &amp; Strategic Health Investment Document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>
    <w:pPr>
      <w:pStyle w:val="Header"/>
      <w:jc w:val="right"/>
    </w:pPr>
    <w:r>
      <w:rPr>
        <w:rFonts w:ascii="Calibri" w:hAnsi="Calibri"/>
        <w:color w:val="64748B"/>
        <w:sz w:val="17"/>
      </w:rPr>
      <w:t>VaxPlan Platform • Organizational ToR &amp; Operating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2026-09-10T00:48:09.249Z</dcterms:modified>
  <cp:category/>
</cp:coreProperties>
</file>