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rzeocwdmvps" w:id="0"/>
      <w:bookmarkEnd w:id="0"/>
      <w:r w:rsidDel="00000000" w:rsidR="00000000" w:rsidRPr="00000000">
        <w:rPr>
          <w:rtl w:val="0"/>
        </w:rPr>
        <w:t xml:space="preserve">Governance Compliance Roadmap: Responsible AI Deployment in CRM Systems</w:t>
      </w:r>
    </w:p>
    <w:p w:rsidR="00000000" w:rsidDel="00000000" w:rsidP="00000000" w:rsidRDefault="00000000" w:rsidRPr="00000000" w14:paraId="00000002">
      <w:pPr>
        <w:pStyle w:val="Heading5"/>
        <w:rPr/>
      </w:pPr>
      <w:bookmarkStart w:colFirst="0" w:colLast="0" w:name="_d87b5ga3iud2" w:id="1"/>
      <w:bookmarkEnd w:id="1"/>
      <w:r w:rsidDel="00000000" w:rsidR="00000000" w:rsidRPr="00000000">
        <w:rPr>
          <w:rtl w:val="0"/>
        </w:rPr>
        <w:t xml:space="preserve">1. The Strategic Imperative: Bridging the Personalization-Privacy Gap</w:t>
      </w:r>
    </w:p>
    <w:p w:rsidR="00000000" w:rsidDel="00000000" w:rsidP="00000000" w:rsidRDefault="00000000" w:rsidRPr="00000000" w14:paraId="00000003">
      <w:pPr>
        <w:rPr/>
      </w:pPr>
      <w:r w:rsidDel="00000000" w:rsidR="00000000" w:rsidRPr="00000000">
        <w:rPr>
          <w:rtl w:val="0"/>
        </w:rPr>
        <w:t xml:space="preserve">The modern Customer Relationship Management (CRM) landscape is defined by a profound tension between utility and ethics. While 87% of consumers emphasize the importance of buying from brands that understand the "real me," this demand for hyper-personalization is colliding with a crisis of confidence. Currently, 81% of Americans report a perceived lack of transparency regarding how companies utilize their personal information. This "black box" logic—where automated systems make opaque decisions—has created an accountability vacuum that threatens to erode brand equity and invite aggressive regulatory intervention.To orchestrate a resilient AI strategy, leadership must mitigate the core risks inherent in machine learning integrations.| Risk Category | Strategic Impact | Evidence/Statistical Driver || ------ | ------ | ------ || </w:t>
      </w:r>
      <w:r w:rsidDel="00000000" w:rsidR="00000000" w:rsidRPr="00000000">
        <w:rPr>
          <w:b w:val="1"/>
          <w:bCs w:val="1"/>
          <w:rtl w:val="0"/>
        </w:rPr>
        <w:t xml:space="preserve">Data Breaches</w:t>
      </w:r>
      <w:r w:rsidDel="00000000" w:rsidR="00000000" w:rsidRPr="00000000">
        <w:rPr>
          <w:rtl w:val="0"/>
        </w:rPr>
        <w:t xml:space="preserve"> | Erosion of consumer trust and severe financial penalties. | 81% of Americans do not trust companies with data control; human factors drive 68% of all breaches. || </w:t>
      </w:r>
      <w:r w:rsidDel="00000000" w:rsidR="00000000" w:rsidRPr="00000000">
        <w:rPr>
          <w:b w:val="1"/>
          <w:bCs w:val="1"/>
          <w:rtl w:val="0"/>
        </w:rPr>
        <w:t xml:space="preserve">Algorithmic Bias</w:t>
      </w:r>
      <w:r w:rsidDel="00000000" w:rsidR="00000000" w:rsidRPr="00000000">
        <w:rPr>
          <w:rtl w:val="0"/>
        </w:rPr>
        <w:t xml:space="preserve"> | Legal liability and systemic reputational damage. | Historical data often embodies social inequalities, creating discriminatory outcomes in lending and ad targeting. || </w:t>
      </w:r>
      <w:r w:rsidDel="00000000" w:rsidR="00000000" w:rsidRPr="00000000">
        <w:rPr>
          <w:b w:val="1"/>
          <w:bCs w:val="1"/>
          <w:rtl w:val="0"/>
        </w:rPr>
        <w:t xml:space="preserve">Human-Factor Errors</w:t>
      </w:r>
      <w:r w:rsidDel="00000000" w:rsidR="00000000" w:rsidRPr="00000000">
        <w:rPr>
          <w:rtl w:val="0"/>
        </w:rPr>
        <w:t xml:space="preserve"> | Inadvertent disclosure of sensitive internal data. | 68% of data breaches in 2024 were attributed to human error, often via misconfigured AI agents. |</w:t>
      </w:r>
    </w:p>
    <w:p w:rsidR="00000000" w:rsidDel="00000000" w:rsidP="00000000" w:rsidRDefault="00000000" w:rsidRPr="00000000" w14:paraId="00000004">
      <w:pPr>
        <w:rPr/>
      </w:pPr>
      <w:r w:rsidDel="00000000" w:rsidR="00000000" w:rsidRPr="00000000">
        <w:rPr>
          <w:rtl w:val="0"/>
        </w:rPr>
        <w:t xml:space="preserve">A proactive governance roadmap is not a compliance burden; it is a competitive advantage. By transitioning from a reactive posture—where biases are corrected only after public outcry—to a proactive "Ethics by Design" model, organizations can transform data management from a liability into a sustainable pillar of customer loyalty.</w:t>
      </w:r>
    </w:p>
    <w:p w:rsidR="00000000" w:rsidDel="00000000" w:rsidP="00000000" w:rsidRDefault="00000000" w:rsidRPr="00000000" w14:paraId="00000005">
      <w:pPr>
        <w:pStyle w:val="Heading5"/>
        <w:rPr/>
      </w:pPr>
      <w:bookmarkStart w:colFirst="0" w:colLast="0" w:name="_91olh1mj7b5h" w:id="2"/>
      <w:bookmarkEnd w:id="2"/>
      <w:r w:rsidDel="00000000" w:rsidR="00000000" w:rsidRPr="00000000">
        <w:rPr>
          <w:rtl w:val="0"/>
        </w:rPr>
        <w:t xml:space="preserve">2. Organizational Architecture: The 'Ethics by Design' Framework</w:t>
      </w:r>
    </w:p>
    <w:p w:rsidR="00000000" w:rsidDel="00000000" w:rsidP="00000000" w:rsidRDefault="00000000" w:rsidRPr="00000000" w14:paraId="00000006">
      <w:pPr>
        <w:rPr/>
      </w:pPr>
      <w:r w:rsidDel="00000000" w:rsidR="00000000" w:rsidRPr="00000000">
        <w:rPr>
          <w:rtl w:val="0"/>
        </w:rPr>
        <w:t xml:space="preserve">Ethical integrity cannot be a post-hoc audit function; it must be codified within the product development lifecycle. This "Ethics by Design" framework ensures that every algorithmic interaction is aligned with organizational values before a single line of code is deployed.Salesforce serves as the global benchmark for this architecture, embedding five  </w:t>
      </w:r>
      <w:r w:rsidDel="00000000" w:rsidR="00000000" w:rsidRPr="00000000">
        <w:rPr>
          <w:b w:val="1"/>
          <w:bCs w:val="1"/>
          <w:rtl w:val="0"/>
        </w:rPr>
        <w:t xml:space="preserve">Trusted AI Principles</w:t>
      </w:r>
      <w:r w:rsidDel="00000000" w:rsidR="00000000" w:rsidRPr="00000000">
        <w:rPr>
          <w:rtl w:val="0"/>
        </w:rPr>
        <w:t xml:space="preserve">  directly into its product engineering:</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Responsibility:</w:t>
      </w:r>
      <w:r w:rsidDel="00000000" w:rsidR="00000000" w:rsidRPr="00000000">
        <w:rPr>
          <w:rtl w:val="0"/>
        </w:rPr>
        <w:t xml:space="preserve">  Taking ownership of the societal impacts of AI.</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Accountability:</w:t>
      </w:r>
      <w:r w:rsidDel="00000000" w:rsidR="00000000" w:rsidRPr="00000000">
        <w:rPr>
          <w:rtl w:val="0"/>
        </w:rPr>
        <w:t xml:space="preserve">  Establishing clear lines of responsibility for automated outcomes.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Transparency:</w:t>
      </w:r>
      <w:r w:rsidDel="00000000" w:rsidR="00000000" w:rsidRPr="00000000">
        <w:rPr>
          <w:rtl w:val="0"/>
        </w:rPr>
        <w:t xml:space="preserve">  Ensuring logic is interpretable and explainable to the end-user.</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Empowerment:</w:t>
      </w:r>
      <w:r w:rsidDel="00000000" w:rsidR="00000000" w:rsidRPr="00000000">
        <w:rPr>
          <w:rtl w:val="0"/>
        </w:rPr>
        <w:t xml:space="preserve">  Granting users agency over their data and its utilization.</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Inclusivity:</w:t>
      </w:r>
      <w:r w:rsidDel="00000000" w:rsidR="00000000" w:rsidRPr="00000000">
        <w:rPr>
          <w:rtl w:val="0"/>
        </w:rPr>
        <w:t xml:space="preserve">  Actively stripping bias to ensure fair outcomes across all demographics.To operationalize these principles, we mandate the establishment of an  </w:t>
      </w:r>
      <w:r w:rsidDel="00000000" w:rsidR="00000000" w:rsidRPr="00000000">
        <w:rPr>
          <w:b w:val="1"/>
          <w:bCs w:val="1"/>
          <w:rtl w:val="0"/>
        </w:rPr>
        <w:t xml:space="preserve">Office of Ethical and Human Use</w:t>
      </w:r>
      <w:r w:rsidDel="00000000" w:rsidR="00000000" w:rsidRPr="00000000">
        <w:rPr>
          <w:rtl w:val="0"/>
        </w:rPr>
        <w:t xml:space="preserve">  and a  </w:t>
      </w:r>
      <w:r w:rsidDel="00000000" w:rsidR="00000000" w:rsidRPr="00000000">
        <w:rPr>
          <w:b w:val="1"/>
          <w:bCs w:val="1"/>
          <w:rtl w:val="0"/>
        </w:rPr>
        <w:t xml:space="preserve">Data Review Board (DRB)</w:t>
      </w:r>
      <w:r w:rsidDel="00000000" w:rsidR="00000000" w:rsidRPr="00000000">
        <w:rPr>
          <w:rtl w:val="0"/>
        </w:rPr>
        <w:t xml:space="preserve"> . Their strategic mandates include:</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Demographic Bias Mitigation:</w:t>
      </w:r>
      <w:r w:rsidDel="00000000" w:rsidR="00000000" w:rsidRPr="00000000">
        <w:rPr>
          <w:rtl w:val="0"/>
        </w:rPr>
        <w:t xml:space="preserve">  Utilizing tools like  </w:t>
      </w:r>
      <w:r w:rsidDel="00000000" w:rsidR="00000000" w:rsidRPr="00000000">
        <w:rPr>
          <w:b w:val="1"/>
          <w:bCs w:val="1"/>
          <w:rtl w:val="0"/>
        </w:rPr>
        <w:t xml:space="preserve">Einstein Discovery</w:t>
      </w:r>
      <w:r w:rsidDel="00000000" w:rsidR="00000000" w:rsidRPr="00000000">
        <w:rPr>
          <w:rtl w:val="0"/>
        </w:rPr>
        <w:t xml:space="preserve">  to identify fields containing controlled information (age, race, gender) and implementing de-biasing protocols.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Strategic Targeting Shifts:</w:t>
      </w:r>
      <w:r w:rsidDel="00000000" w:rsidR="00000000" w:rsidRPr="00000000">
        <w:rPr>
          <w:rtl w:val="0"/>
        </w:rPr>
        <w:t xml:space="preserve">  Transitioning marketing logic from demographic profiling to interest-oriented and behavioral targeting.</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Communication Simplification:</w:t>
      </w:r>
      <w:r w:rsidDel="00000000" w:rsidR="00000000" w:rsidRPr="00000000">
        <w:rPr>
          <w:rtl w:val="0"/>
        </w:rPr>
        <w:t xml:space="preserve">  Reducing the "transparency gap" by rewriting privacy policies for clarity. Currently, only 22% of adults read policies in full, while 43% merely glance over them; the Office of Ethical Use must bridge this comprehension deficit.</w:t>
      </w:r>
    </w:p>
    <w:p w:rsidR="00000000" w:rsidDel="00000000" w:rsidP="00000000" w:rsidRDefault="00000000" w:rsidRPr="00000000" w14:paraId="0000000F">
      <w:pPr>
        <w:pStyle w:val="Heading5"/>
        <w:rPr/>
      </w:pPr>
      <w:bookmarkStart w:colFirst="0" w:colLast="0" w:name="_596rcmxawi3l" w:id="3"/>
      <w:bookmarkEnd w:id="3"/>
      <w:r w:rsidDel="00000000" w:rsidR="00000000" w:rsidRPr="00000000">
        <w:rPr>
          <w:rtl w:val="0"/>
        </w:rPr>
        <w:t xml:space="preserve">3. Algorithmic Integrity: Mitigating Bias and Opacity</w:t>
      </w:r>
    </w:p>
    <w:p w:rsidR="00000000" w:rsidDel="00000000" w:rsidP="00000000" w:rsidRDefault="00000000" w:rsidRPr="00000000" w14:paraId="00000010">
      <w:pPr>
        <w:rPr/>
      </w:pPr>
      <w:r w:rsidDel="00000000" w:rsidR="00000000" w:rsidRPr="00000000">
        <w:rPr>
          <w:rtl w:val="0"/>
        </w:rPr>
        <w:t xml:space="preserve">The danger of "black box" algorithms is the "accountability vacuum" they create. When developers and clients cannot interpret the path to a decision, the organization loses autonomy and risks violating  </w:t>
      </w:r>
      <w:r w:rsidDel="00000000" w:rsidR="00000000" w:rsidRPr="00000000">
        <w:rPr>
          <w:b w:val="1"/>
          <w:bCs w:val="1"/>
          <w:rtl w:val="0"/>
        </w:rPr>
        <w:t xml:space="preserve">GDPR mandates</w:t>
      </w:r>
      <w:r w:rsidDel="00000000" w:rsidR="00000000" w:rsidRPr="00000000">
        <w:rPr>
          <w:rtl w:val="0"/>
        </w:rPr>
        <w:t xml:space="preserve">  (specifically regarding human intervention in automated processing).We must contrast the  </w:t>
      </w:r>
      <w:r w:rsidDel="00000000" w:rsidR="00000000" w:rsidRPr="00000000">
        <w:rPr>
          <w:b w:val="1"/>
          <w:bCs w:val="1"/>
          <w:rtl w:val="0"/>
        </w:rPr>
        <w:t xml:space="preserve">Reactive Model</w:t>
      </w:r>
      <w:r w:rsidDel="00000000" w:rsidR="00000000" w:rsidRPr="00000000">
        <w:rPr>
          <w:rtl w:val="0"/>
        </w:rPr>
        <w:t xml:space="preserve">  (e.g., the Facebook ad-serving case, where external researchers identified discrimination after the fact) with our  </w:t>
      </w:r>
      <w:r w:rsidDel="00000000" w:rsidR="00000000" w:rsidRPr="00000000">
        <w:rPr>
          <w:b w:val="1"/>
          <w:bCs w:val="1"/>
          <w:rtl w:val="0"/>
        </w:rPr>
        <w:t xml:space="preserve">Proactive Model</w:t>
      </w:r>
      <w:r w:rsidDel="00000000" w:rsidR="00000000" w:rsidRPr="00000000">
        <w:rPr>
          <w:rtl w:val="0"/>
        </w:rPr>
        <w:t xml:space="preserve">  (Salesforce DRB). While reactive models lead to legal settlements and brand erosion, proactive models detect bias internally. This is achieved by mandating "proxy variable stripping"—the technical removal of parameters like location or income that often serve as illegal correlations for race or protected classes.Technical methodologies for  </w:t>
      </w:r>
      <w:r w:rsidDel="00000000" w:rsidR="00000000" w:rsidRPr="00000000">
        <w:rPr>
          <w:b w:val="1"/>
          <w:bCs w:val="1"/>
          <w:rtl w:val="0"/>
        </w:rPr>
        <w:t xml:space="preserve">Explainable AI (XAI)</w:t>
      </w:r>
      <w:r w:rsidDel="00000000" w:rsidR="00000000" w:rsidRPr="00000000">
        <w:rPr>
          <w:rtl w:val="0"/>
        </w:rPr>
        <w:t xml:space="preserve">  are required to maintain this integrity:</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LIME &amp; SHAP:</w:t>
      </w:r>
      <w:r w:rsidDel="00000000" w:rsidR="00000000" w:rsidRPr="00000000">
        <w:rPr>
          <w:rtl w:val="0"/>
        </w:rPr>
        <w:t xml:space="preserve">  These tools must be integrated to interpret model predictions, clarifying which features drove a specific outcome for end-users and auditors.</w:t>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De-biasing Requirements: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Algorithm Audits:</w:t>
      </w:r>
      <w:r w:rsidDel="00000000" w:rsidR="00000000" w:rsidRPr="00000000">
        <w:rPr>
          <w:rtl w:val="0"/>
        </w:rPr>
        <w:t xml:space="preserve">  Systematic reviews to uncover hidden patterns of historical prejudice.</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Representative Data Usage:</w:t>
      </w:r>
      <w:r w:rsidDel="00000000" w:rsidR="00000000" w:rsidRPr="00000000">
        <w:rPr>
          <w:rtl w:val="0"/>
        </w:rPr>
        <w:t xml:space="preserve">  Ensuring training sets reflect current realities rather than historical inequalities.</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Variable Objectivity:</w:t>
      </w:r>
      <w:r w:rsidDel="00000000" w:rsidR="00000000" w:rsidRPr="00000000">
        <w:rPr>
          <w:rtl w:val="0"/>
        </w:rPr>
        <w:t xml:space="preserve">  Codifying a requirement to strip variables that correlate with protected demographics.</w:t>
      </w:r>
    </w:p>
    <w:p w:rsidR="00000000" w:rsidDel="00000000" w:rsidP="00000000" w:rsidRDefault="00000000" w:rsidRPr="00000000" w14:paraId="00000016">
      <w:pPr>
        <w:pStyle w:val="Heading5"/>
        <w:rPr/>
      </w:pPr>
      <w:bookmarkStart w:colFirst="0" w:colLast="0" w:name="_o6sdakyzfw0m" w:id="4"/>
      <w:bookmarkEnd w:id="4"/>
      <w:r w:rsidDel="00000000" w:rsidR="00000000" w:rsidRPr="00000000">
        <w:rPr>
          <w:rtl w:val="0"/>
        </w:rPr>
        <w:t xml:space="preserve">4. Technical Compliance Protocol: Privacy and Security Mandates</w:t>
      </w:r>
    </w:p>
    <w:p w:rsidR="00000000" w:rsidDel="00000000" w:rsidP="00000000" w:rsidRDefault="00000000" w:rsidRPr="00000000" w14:paraId="00000017">
      <w:pPr>
        <w:rPr/>
      </w:pPr>
      <w:r w:rsidDel="00000000" w:rsidR="00000000" w:rsidRPr="00000000">
        <w:rPr>
          <w:rtl w:val="0"/>
        </w:rPr>
        <w:t xml:space="preserve">Technical controls enforce the policy of "Data Minimization," ensuring we only process the absolute minimum data required for a specific objective.To secure AI-CRM environments, we implement a three-layer security protocol:</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Layer 1: Identity Protection:</w:t>
      </w:r>
      <w:r w:rsidDel="00000000" w:rsidR="00000000" w:rsidRPr="00000000">
        <w:rPr>
          <w:rtl w:val="0"/>
        </w:rPr>
        <w:t xml:space="preserve">  Implement  </w:t>
      </w:r>
      <w:r w:rsidDel="00000000" w:rsidR="00000000" w:rsidRPr="00000000">
        <w:rPr>
          <w:b w:val="1"/>
          <w:bCs w:val="1"/>
          <w:rtl w:val="0"/>
        </w:rPr>
        <w:t xml:space="preserve">Anonymization</w:t>
      </w:r>
      <w:r w:rsidDel="00000000" w:rsidR="00000000" w:rsidRPr="00000000">
        <w:rPr>
          <w:rtl w:val="0"/>
        </w:rPr>
        <w:t xml:space="preserve">  and  </w:t>
      </w:r>
      <w:r w:rsidDel="00000000" w:rsidR="00000000" w:rsidRPr="00000000">
        <w:rPr>
          <w:b w:val="1"/>
          <w:bCs w:val="1"/>
          <w:rtl w:val="0"/>
        </w:rPr>
        <w:t xml:space="preserve">Pseudonymization</w:t>
      </w:r>
      <w:r w:rsidDel="00000000" w:rsidR="00000000" w:rsidRPr="00000000">
        <w:rPr>
          <w:rtl w:val="0"/>
        </w:rPr>
        <w:t xml:space="preserve"> . We replace direct identifiers with time codes that are only reversible under strict security regimes. To meet the enterprise benchmark, all data at rest and in transit must be secured using  </w:t>
      </w:r>
      <w:r w:rsidDel="00000000" w:rsidR="00000000" w:rsidRPr="00000000">
        <w:rPr>
          <w:b w:val="1"/>
          <w:bCs w:val="1"/>
          <w:rtl w:val="0"/>
        </w:rPr>
        <w:t xml:space="preserve">AES-256 encryption</w:t>
      </w:r>
      <w:r w:rsidDel="00000000" w:rsidR="00000000" w:rsidRPr="00000000">
        <w:rPr>
          <w:rtl w:val="0"/>
        </w:rPr>
        <w:t xml:space="preserve"> .</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Layer 2: Access Management:</w:t>
      </w:r>
      <w:r w:rsidDel="00000000" w:rsidR="00000000" w:rsidRPr="00000000">
        <w:rPr>
          <w:rtl w:val="0"/>
        </w:rPr>
        <w:t xml:space="preserve">  Enforce  </w:t>
      </w:r>
      <w:r w:rsidDel="00000000" w:rsidR="00000000" w:rsidRPr="00000000">
        <w:rPr>
          <w:b w:val="1"/>
          <w:bCs w:val="1"/>
          <w:rtl w:val="0"/>
        </w:rPr>
        <w:t xml:space="preserve">Role-Based Access Control (RBAC)</w:t>
      </w:r>
      <w:r w:rsidDel="00000000" w:rsidR="00000000" w:rsidRPr="00000000">
        <w:rPr>
          <w:rtl w:val="0"/>
        </w:rPr>
        <w:t xml:space="preserve"> . By distributing permissions based on job function, we mitigate the 68% risk factor associated with human-error-related breaches.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Layer 3: Vulnerability Management:</w:t>
      </w:r>
      <w:r w:rsidDel="00000000" w:rsidR="00000000" w:rsidRPr="00000000">
        <w:rPr>
          <w:rtl w:val="0"/>
        </w:rPr>
        <w:t xml:space="preserve">  Codify "exclusion zones" for AI Agents. Agents must be architecturally restricted from pulling data from sensitive internal updates or communications to prevent inadvertent disclosure.Furthermore, a  </w:t>
      </w:r>
      <w:r w:rsidDel="00000000" w:rsidR="00000000" w:rsidRPr="00000000">
        <w:rPr>
          <w:b w:val="1"/>
          <w:bCs w:val="1"/>
          <w:rtl w:val="0"/>
        </w:rPr>
        <w:t xml:space="preserve">Data Protection Impact Assessment (DPIA)</w:t>
      </w:r>
      <w:r w:rsidDel="00000000" w:rsidR="00000000" w:rsidRPr="00000000">
        <w:rPr>
          <w:rtl w:val="0"/>
        </w:rPr>
        <w:t xml:space="preserve">  is mandatory for high-risk profiling. Data leaders must verify compliance via this checklist:</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Legal Basis:</w:t>
      </w:r>
      <w:r w:rsidDel="00000000" w:rsidR="00000000" w:rsidRPr="00000000">
        <w:rPr>
          <w:rtl w:val="0"/>
        </w:rPr>
        <w:t xml:space="preserve">  Is there explicit consent or a legitimate interest for this automated decision?</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Human-in-the-loop:</w:t>
      </w:r>
      <w:r w:rsidDel="00000000" w:rsidR="00000000" w:rsidRPr="00000000">
        <w:rPr>
          <w:rtl w:val="0"/>
        </w:rPr>
        <w:t xml:space="preserve">  Is there a verification mechanism for machine-suggested outcomes?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Data Rights:</w:t>
      </w:r>
      <w:r w:rsidDel="00000000" w:rsidR="00000000" w:rsidRPr="00000000">
        <w:rPr>
          <w:rtl w:val="0"/>
        </w:rPr>
        <w:t xml:space="preserve">  Can the user exercise the right to access, deletion, or portability?</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Minimization:</w:t>
      </w:r>
      <w:r w:rsidDel="00000000" w:rsidR="00000000" w:rsidRPr="00000000">
        <w:rPr>
          <w:rtl w:val="0"/>
        </w:rPr>
        <w:t xml:space="preserve">  Is the architecture designed to function on the smallest dataset possible?</w:t>
      </w:r>
    </w:p>
    <w:p w:rsidR="00000000" w:rsidDel="00000000" w:rsidP="00000000" w:rsidRDefault="00000000" w:rsidRPr="00000000" w14:paraId="0000001F">
      <w:pPr>
        <w:pStyle w:val="Heading5"/>
        <w:rPr/>
      </w:pPr>
      <w:bookmarkStart w:colFirst="0" w:colLast="0" w:name="_bdjouh8y43f7" w:id="5"/>
      <w:bookmarkEnd w:id="5"/>
      <w:r w:rsidDel="00000000" w:rsidR="00000000" w:rsidRPr="00000000">
        <w:rPr>
          <w:rtl w:val="0"/>
        </w:rPr>
        <w:t xml:space="preserve">5. The Data Intelligence Hub: Metadata and Enrichment as Governance</w:t>
      </w:r>
    </w:p>
    <w:p w:rsidR="00000000" w:rsidDel="00000000" w:rsidP="00000000" w:rsidRDefault="00000000" w:rsidRPr="00000000" w14:paraId="00000020">
      <w:pPr>
        <w:rPr/>
      </w:pPr>
      <w:r w:rsidDel="00000000" w:rsidR="00000000" w:rsidRPr="00000000">
        <w:rPr>
          <w:rtl w:val="0"/>
        </w:rPr>
        <w:t xml:space="preserve">A unified data stack, powered by platforms like  </w:t>
      </w:r>
      <w:r w:rsidDel="00000000" w:rsidR="00000000" w:rsidRPr="00000000">
        <w:rPr>
          <w:b w:val="1"/>
          <w:bCs w:val="1"/>
          <w:rtl w:val="0"/>
        </w:rPr>
        <w:t xml:space="preserve">Alation</w:t>
      </w:r>
      <w:r w:rsidDel="00000000" w:rsidR="00000000" w:rsidRPr="00000000">
        <w:rPr>
          <w:rtl w:val="0"/>
        </w:rPr>
        <w:t xml:space="preserve">  or  </w:t>
      </w:r>
      <w:r w:rsidDel="00000000" w:rsidR="00000000" w:rsidRPr="00000000">
        <w:rPr>
          <w:b w:val="1"/>
          <w:bCs w:val="1"/>
          <w:rtl w:val="0"/>
        </w:rPr>
        <w:t xml:space="preserve">Improvado</w:t>
      </w:r>
      <w:r w:rsidDel="00000000" w:rsidR="00000000" w:rsidRPr="00000000">
        <w:rPr>
          <w:rtl w:val="0"/>
        </w:rPr>
        <w:t xml:space="preserve"> , provides the "connective tissue" for governance. These platforms function as an  </w:t>
      </w:r>
      <w:r w:rsidDel="00000000" w:rsidR="00000000" w:rsidRPr="00000000">
        <w:rPr>
          <w:b w:val="1"/>
          <w:bCs w:val="1"/>
          <w:rtl w:val="0"/>
        </w:rPr>
        <w:t xml:space="preserve">Active Metadata Graph</w:t>
      </w:r>
      <w:r w:rsidDel="00000000" w:rsidR="00000000" w:rsidRPr="00000000">
        <w:rPr>
          <w:rtl w:val="0"/>
        </w:rPr>
        <w:t xml:space="preserve"> , providing the automated lineage and visibility required to track data as it moves through the pipeline.Automated data enrichment (via Clearbit or Cognism) supports governance by ensuring the "Single Source of Truth" is accurate. Centralizing this data in environments like BigQuery reduces operational overhead—as evidenced by the  </w:t>
      </w:r>
      <w:r w:rsidDel="00000000" w:rsidR="00000000" w:rsidRPr="00000000">
        <w:rPr>
          <w:b w:val="1"/>
          <w:bCs w:val="1"/>
          <w:rtl w:val="0"/>
        </w:rPr>
        <w:t xml:space="preserve">Yodel Mobile case study</w:t>
      </w:r>
      <w:r w:rsidDel="00000000" w:rsidR="00000000" w:rsidRPr="00000000">
        <w:rPr>
          <w:rtl w:val="0"/>
        </w:rPr>
        <w:t xml:space="preserve"> , where automated workflows reduced manual reporting time by 80%.A Data Intelligence platform strengthens the roadmap through:</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Automated Metadata Capture:</w:t>
      </w:r>
      <w:r w:rsidDel="00000000" w:rsidR="00000000" w:rsidRPr="00000000">
        <w:rPr>
          <w:rtl w:val="0"/>
        </w:rPr>
        <w:t xml:space="preserve">  Recording schema structures and data types to keep enriched assets visible.</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Collaborative Context (Human-in-the-loop):</w:t>
      </w:r>
      <w:r w:rsidDel="00000000" w:rsidR="00000000" w:rsidRPr="00000000">
        <w:rPr>
          <w:rtl w:val="0"/>
        </w:rPr>
        <w:t xml:space="preserve">  Utilizing the  </w:t>
      </w:r>
      <w:r w:rsidDel="00000000" w:rsidR="00000000" w:rsidRPr="00000000">
        <w:rPr>
          <w:b w:val="1"/>
          <w:bCs w:val="1"/>
          <w:rtl w:val="0"/>
        </w:rPr>
        <w:t xml:space="preserve">Alation Documentation Agent</w:t>
      </w:r>
      <w:r w:rsidDel="00000000" w:rsidR="00000000" w:rsidRPr="00000000">
        <w:rPr>
          <w:rtl w:val="0"/>
        </w:rPr>
        <w:t xml:space="preserve">  and  </w:t>
      </w:r>
      <w:r w:rsidDel="00000000" w:rsidR="00000000" w:rsidRPr="00000000">
        <w:rPr>
          <w:b w:val="1"/>
          <w:bCs w:val="1"/>
          <w:rtl w:val="0"/>
        </w:rPr>
        <w:t xml:space="preserve">Data Quality Agent</w:t>
      </w:r>
      <w:r w:rsidDel="00000000" w:rsidR="00000000" w:rsidRPr="00000000">
        <w:rPr>
          <w:rtl w:val="0"/>
        </w:rPr>
        <w:t xml:space="preserve">  to add business definitions and flag quality concerns automatically.</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Behavioral Intelligence:</w:t>
      </w:r>
      <w:r w:rsidDel="00000000" w:rsidR="00000000" w:rsidRPr="00000000">
        <w:rPr>
          <w:rtl w:val="0"/>
        </w:rPr>
        <w:t xml:space="preserve">  Analyzing search and usage patterns to focus enrichment efforts on the highest-value datasets.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Open Integration Frameworks:</w:t>
      </w:r>
      <w:r w:rsidDel="00000000" w:rsidR="00000000" w:rsidRPr="00000000">
        <w:rPr>
          <w:rtl w:val="0"/>
        </w:rPr>
        <w:t xml:space="preserve">  Orchestrating specialized tools into a single, measurable, and governed environment.</w:t>
      </w:r>
    </w:p>
    <w:p w:rsidR="00000000" w:rsidDel="00000000" w:rsidP="00000000" w:rsidRDefault="00000000" w:rsidRPr="00000000" w14:paraId="00000025">
      <w:pPr>
        <w:pStyle w:val="Heading5"/>
        <w:rPr/>
      </w:pPr>
      <w:bookmarkStart w:colFirst="0" w:colLast="0" w:name="_7lgq0bxylgdb" w:id="6"/>
      <w:bookmarkEnd w:id="6"/>
      <w:r w:rsidDel="00000000" w:rsidR="00000000" w:rsidRPr="00000000">
        <w:rPr>
          <w:rtl w:val="0"/>
        </w:rPr>
        <w:t xml:space="preserve">6. Roadmap Implementation: A Phased Execution Strategy</w:t>
      </w:r>
    </w:p>
    <w:p w:rsidR="00000000" w:rsidDel="00000000" w:rsidP="00000000" w:rsidRDefault="00000000" w:rsidRPr="00000000" w14:paraId="00000026">
      <w:pPr>
        <w:rPr/>
      </w:pPr>
      <w:r w:rsidDel="00000000" w:rsidR="00000000" w:rsidRPr="00000000">
        <w:rPr>
          <w:rtl w:val="0"/>
        </w:rPr>
        <w:t xml:space="preserve">Execution must be phased to ensure system stability and organizational adoption.</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Phase I: Foundation &amp; Audit:</w:t>
      </w:r>
      <w:r w:rsidDel="00000000" w:rsidR="00000000" w:rsidRPr="00000000">
        <w:rPr>
          <w:rtl w:val="0"/>
        </w:rPr>
        <w:t xml:space="preserve">  Conduct a comprehensive audit of  </w:t>
      </w:r>
      <w:r w:rsidDel="00000000" w:rsidR="00000000" w:rsidRPr="00000000">
        <w:rPr>
          <w:b w:val="1"/>
          <w:bCs w:val="1"/>
          <w:rtl w:val="0"/>
        </w:rPr>
        <w:t xml:space="preserve">"Small and Wide Data."</w:t>
      </w:r>
      <w:r w:rsidDel="00000000" w:rsidR="00000000" w:rsidRPr="00000000">
        <w:rPr>
          <w:rtl w:val="0"/>
        </w:rPr>
        <w:t xml:space="preserve">  Consistent with Gartner findings that 70% of organizations will shift focus to small/wide data by 2025, we will map MarTech silos and conduct initial DPIAs to reduce data hunger.</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Phase II: Architectural Redesign:</w:t>
      </w:r>
      <w:r w:rsidDel="00000000" w:rsidR="00000000" w:rsidRPr="00000000">
        <w:rPr>
          <w:rtl w:val="0"/>
        </w:rPr>
        <w:t xml:space="preserve">  Implement RBAC, AES-256 encryption, and XAI tools. Establish an  </w:t>
      </w:r>
      <w:r w:rsidDel="00000000" w:rsidR="00000000" w:rsidRPr="00000000">
        <w:rPr>
          <w:b w:val="1"/>
          <w:bCs w:val="1"/>
          <w:rtl w:val="0"/>
        </w:rPr>
        <w:t xml:space="preserve">Identity Resolution Strategy</w:t>
      </w:r>
      <w:r w:rsidDel="00000000" w:rsidR="00000000" w:rsidRPr="00000000">
        <w:rPr>
          <w:rtl w:val="0"/>
        </w:rPr>
        <w:t xml:space="preserve">  to achieve a unified customer view while maintaining pseudonymization.</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Phase III: Operationalization:</w:t>
      </w:r>
      <w:r w:rsidDel="00000000" w:rsidR="00000000" w:rsidRPr="00000000">
        <w:rPr>
          <w:rtl w:val="0"/>
        </w:rPr>
        <w:t xml:space="preserve">  Formally establish the Data Review Board. Transition all marketing triggers from demographic-based profiling to behavioral and interest-based logic.</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Phase IV: Continuous Monitoring:</w:t>
      </w:r>
      <w:r w:rsidDel="00000000" w:rsidR="00000000" w:rsidRPr="00000000">
        <w:rPr>
          <w:rtl w:val="0"/>
        </w:rPr>
        <w:t xml:space="preserve">  Deploy AI agents for  </w:t>
      </w:r>
      <w:r w:rsidDel="00000000" w:rsidR="00000000" w:rsidRPr="00000000">
        <w:rPr>
          <w:b w:val="1"/>
          <w:bCs w:val="1"/>
          <w:rtl w:val="0"/>
        </w:rPr>
        <w:t xml:space="preserve">Real-time Anomaly Detection</w:t>
      </w:r>
      <w:r w:rsidDel="00000000" w:rsidR="00000000" w:rsidRPr="00000000">
        <w:rPr>
          <w:rtl w:val="0"/>
        </w:rPr>
        <w:t xml:space="preserve"> . These systems will flag sudden metric shifts or security variances, ensuring that automated governance checks evolve alongside the threat landscape.</w:t>
      </w:r>
      <w:r w:rsidDel="00000000" w:rsidR="00000000" w:rsidRPr="00000000">
        <w:rPr>
          <w:b w:val="1"/>
          <w:bCs w:val="1"/>
          <w:rtl w:val="0"/>
        </w:rPr>
        <w:t xml:space="preserve">Summary:</w:t>
      </w:r>
      <w:r w:rsidDel="00000000" w:rsidR="00000000" w:rsidRPr="00000000">
        <w:rPr>
          <w:rtl w:val="0"/>
        </w:rPr>
        <w:t xml:space="preserve">  This roadmap balances the demand for high-value personalization with an uncompromising commitment to data ethics. By orchestrating regulatory compliance, technical safeguards, and organizational oversight, we transform responsible AI into a sustainable engine for enterprise growth.</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