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3ijc1ovd4sy" w:id="0"/>
      <w:bookmarkEnd w:id="0"/>
      <w:r w:rsidDel="00000000" w:rsidR="00000000" w:rsidRPr="00000000">
        <w:rPr>
          <w:rtl w:val="0"/>
        </w:rPr>
        <w:t xml:space="preserve">The AI Balancing Act: Personalization vs. Privacy in Business</w:t>
      </w:r>
    </w:p>
    <w:p w:rsidR="00000000" w:rsidDel="00000000" w:rsidP="00000000" w:rsidRDefault="00000000" w:rsidRPr="00000000" w14:paraId="00000002">
      <w:pPr>
        <w:pStyle w:val="Heading5"/>
        <w:rPr/>
      </w:pPr>
      <w:bookmarkStart w:colFirst="0" w:colLast="0" w:name="_temtacj6sm88" w:id="1"/>
      <w:bookmarkEnd w:id="1"/>
      <w:r w:rsidDel="00000000" w:rsidR="00000000" w:rsidRPr="00000000">
        <w:rPr>
          <w:rtl w:val="0"/>
        </w:rPr>
        <w:t xml:space="preserve">1. The Core Tension: Service vs. Secrecy</w:t>
      </w:r>
    </w:p>
    <w:p w:rsidR="00000000" w:rsidDel="00000000" w:rsidP="00000000" w:rsidRDefault="00000000" w:rsidRPr="00000000" w14:paraId="00000003">
      <w:pPr>
        <w:rPr/>
      </w:pPr>
      <w:r w:rsidDel="00000000" w:rsidR="00000000" w:rsidRPr="00000000">
        <w:rPr>
          <w:rtl w:val="0"/>
        </w:rPr>
        <w:t xml:space="preserve">In the modern landscape of Customer Relationship Management (CRM), business leaders face a high-stakes ethical dilemma: the friction between hyper-personalization and data sovereignty. On the "service" side, the demand is undeniable—Accenture research indicates that  </w:t>
      </w:r>
      <w:r w:rsidDel="00000000" w:rsidR="00000000" w:rsidRPr="00000000">
        <w:rPr>
          <w:b w:val="1"/>
          <w:bCs w:val="1"/>
          <w:rtl w:val="0"/>
        </w:rPr>
        <w:t xml:space="preserve">87% of consumers believe it is important to buy from brands that understand the "real me."</w:t>
      </w:r>
      <w:r w:rsidDel="00000000" w:rsidR="00000000" w:rsidRPr="00000000">
        <w:rPr>
          <w:rtl w:val="0"/>
        </w:rPr>
        <w:t xml:space="preserve">  To meet this expectation, companies integrate Artificial Intelligence to analyze vast swaths of personal preferences and interaction histories.However, this pursuit of personalization has created a profound "Trust Gap." According to research by Sergei Berezin,  </w:t>
      </w:r>
      <w:r w:rsidDel="00000000" w:rsidR="00000000" w:rsidRPr="00000000">
        <w:rPr>
          <w:b w:val="1"/>
          <w:bCs w:val="1"/>
          <w:rtl w:val="0"/>
        </w:rPr>
        <w:t xml:space="preserve">81% of Americans believe there is a lack of transparency</w:t>
      </w:r>
      <w:r w:rsidDel="00000000" w:rsidR="00000000" w:rsidRPr="00000000">
        <w:rPr>
          <w:rtl w:val="0"/>
        </w:rPr>
        <w:t xml:space="preserve">  in how companies use their data. This tension is further exacerbated by internal vulnerability; Berezin identifies that  </w:t>
      </w:r>
      <w:r w:rsidDel="00000000" w:rsidR="00000000" w:rsidRPr="00000000">
        <w:rPr>
          <w:b w:val="1"/>
          <w:bCs w:val="1"/>
          <w:rtl w:val="0"/>
        </w:rPr>
        <w:t xml:space="preserve">68% of data breaches are human-factor related</w:t>
      </w:r>
      <w:r w:rsidDel="00000000" w:rsidR="00000000" w:rsidRPr="00000000">
        <w:rPr>
          <w:rtl w:val="0"/>
        </w:rPr>
        <w:t xml:space="preserve"> , meaning the risk is not just external "hackers," but the very people and systems managing the data.</w:t>
      </w:r>
      <w:r w:rsidDel="00000000" w:rsidR="00000000" w:rsidRPr="00000000">
        <w:rPr>
          <w:b w:val="1"/>
          <w:bCs w:val="1"/>
          <w:rtl w:val="0"/>
        </w:rPr>
        <w:t xml:space="preserve">The Central Ethical Question:</w:t>
      </w:r>
      <w:r w:rsidDel="00000000" w:rsidR="00000000" w:rsidRPr="00000000">
        <w:rPr>
          <w:rtl w:val="0"/>
        </w:rPr>
        <w:t xml:space="preserve">  How can an organization architect an AI-driven experience that delivers the "real me" personalization customers crave without compromising data security, violating autonomy, or succumbing to the 68% risk of human-factor error?To resolve this conflict, we must move beyond passive observation and adopt a framework of intentional ethical design.</w:t>
      </w:r>
    </w:p>
    <w:p w:rsidR="00000000" w:rsidDel="00000000" w:rsidP="00000000" w:rsidRDefault="00000000" w:rsidRPr="00000000" w14:paraId="00000004">
      <w:pPr>
        <w:pStyle w:val="Heading5"/>
        <w:rPr/>
      </w:pPr>
      <w:bookmarkStart w:colFirst="0" w:colLast="0" w:name="_37w8hbexemdr" w:id="2"/>
      <w:bookmarkEnd w:id="2"/>
      <w:r w:rsidDel="00000000" w:rsidR="00000000" w:rsidRPr="00000000">
        <w:rPr>
          <w:rtl w:val="0"/>
        </w:rPr>
        <w:t xml:space="preserve">2. The Ethical Toolkit: Key Concepts for the Learner</w:t>
      </w:r>
    </w:p>
    <w:p w:rsidR="00000000" w:rsidDel="00000000" w:rsidP="00000000" w:rsidRDefault="00000000" w:rsidRPr="00000000" w14:paraId="00000005">
      <w:pPr>
        <w:rPr/>
      </w:pPr>
      <w:r w:rsidDel="00000000" w:rsidR="00000000" w:rsidRPr="00000000">
        <w:rPr>
          <w:rtl w:val="0"/>
        </w:rPr>
        <w:t xml:space="preserve">As an Ethics Architect, you must view these concepts not as restrictive rules, but as strategic blueprints for building a resilient, reputable brand.</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Data Minimization:</w:t>
      </w:r>
      <w:r w:rsidDel="00000000" w:rsidR="00000000" w:rsidRPr="00000000">
        <w:rPr>
          <w:rtl w:val="0"/>
        </w:rPr>
        <w:t xml:space="preserve">  This is a proactive risk-mitigation strategy that reduces the "attack surface" for potential breaches. Rather than hoarding data, firms must limit collection to only what is "critical" for a specific objective. By selecting only the most meaningful features for AI training, a business limits its liability while maintaining model quality.</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Algorithmic Bias:</w:t>
      </w:r>
      <w:r w:rsidDel="00000000" w:rsidR="00000000" w:rsidRPr="00000000">
        <w:rPr>
          <w:rtl w:val="0"/>
        </w:rPr>
        <w:t xml:space="preserve">  AI learns from historical data, which often reflects societal inequalities. In sectors like lending and recruitment, algorithms can replicate racial or gender disparities even when those variables aren't explicitly used. Identifying these "proxies" is a requirement for any fair business model.</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Transparency &amp; Explainability (XAI):</w:t>
      </w:r>
      <w:r w:rsidDel="00000000" w:rsidR="00000000" w:rsidRPr="00000000">
        <w:rPr>
          <w:rtl w:val="0"/>
        </w:rPr>
        <w:t xml:space="preserve">  Many deep learning models operate as "black boxes." XAI utilizes methodologies like LIME and SHAP to interpret and communicate the logic behind AI-driven recommendations. This transforms an opaque decision into a clear, explainable business action that builds customer confidence.These ethical pillars are the exact blueprints used by industry giants to build—or break—consumer trust.</w:t>
      </w:r>
    </w:p>
    <w:p w:rsidR="00000000" w:rsidDel="00000000" w:rsidP="00000000" w:rsidRDefault="00000000" w:rsidRPr="00000000" w14:paraId="00000009">
      <w:pPr>
        <w:pStyle w:val="Heading5"/>
        <w:rPr/>
      </w:pPr>
      <w:bookmarkStart w:colFirst="0" w:colLast="0" w:name="_8i7rawkdk9ef" w:id="3"/>
      <w:bookmarkEnd w:id="3"/>
      <w:r w:rsidDel="00000000" w:rsidR="00000000" w:rsidRPr="00000000">
        <w:rPr>
          <w:rtl w:val="0"/>
        </w:rPr>
        <w:t xml:space="preserve">3. Proactive vs. Reactive: A Tale of Two Approaches</w:t>
      </w:r>
    </w:p>
    <w:p w:rsidR="00000000" w:rsidDel="00000000" w:rsidP="00000000" w:rsidRDefault="00000000" w:rsidRPr="00000000" w14:paraId="0000000A">
      <w:pPr>
        <w:rPr/>
      </w:pPr>
      <w:r w:rsidDel="00000000" w:rsidR="00000000" w:rsidRPr="00000000">
        <w:rPr>
          <w:rtl w:val="0"/>
        </w:rPr>
        <w:t xml:space="preserve">The strategic stance an organization takes toward AI ethics dictates its legal longevity and brand equity. The contrast between "Ethics by Design" and reactive damage control is best illustrated by the following comparison:| Company | Strategic Stance | Key Ethical Action/Failure | Impact on Consumer Trust/Legal Standing || ------ | ------ | ------ | ------ || </w:t>
      </w:r>
      <w:r w:rsidDel="00000000" w:rsidR="00000000" w:rsidRPr="00000000">
        <w:rPr>
          <w:b w:val="1"/>
          <w:bCs w:val="1"/>
          <w:rtl w:val="0"/>
        </w:rPr>
        <w:t xml:space="preserve">Salesforce</w:t>
      </w:r>
      <w:r w:rsidDel="00000000" w:rsidR="00000000" w:rsidRPr="00000000">
        <w:rPr>
          <w:rtl w:val="0"/>
        </w:rPr>
        <w:t xml:space="preserve"> | </w:t>
      </w:r>
      <w:r w:rsidDel="00000000" w:rsidR="00000000" w:rsidRPr="00000000">
        <w:rPr>
          <w:b w:val="1"/>
          <w:bCs w:val="1"/>
          <w:rtl w:val="0"/>
        </w:rPr>
        <w:t xml:space="preserve">Proactive</w:t>
      </w:r>
      <w:r w:rsidDel="00000000" w:rsidR="00000000" w:rsidRPr="00000000">
        <w:rPr>
          <w:rtl w:val="0"/>
        </w:rPr>
        <w:t xml:space="preserve"> | Established the "Office for the Ethical and Human Use of Technology" and a "Data Review Board." Integrated tools like  </w:t>
      </w:r>
      <w:r w:rsidDel="00000000" w:rsidR="00000000" w:rsidRPr="00000000">
        <w:rPr>
          <w:b w:val="1"/>
          <w:bCs w:val="1"/>
          <w:rtl w:val="0"/>
        </w:rPr>
        <w:t xml:space="preserve">Einstein Discovery</w:t>
      </w:r>
      <w:r w:rsidDel="00000000" w:rsidR="00000000" w:rsidRPr="00000000">
        <w:rPr>
          <w:rtl w:val="0"/>
        </w:rPr>
        <w:t xml:space="preserve">  to identify and flag sensitive fields (e.g., age, race, gender). | Recognized as a global leader in "Fair AI." Proactive audits ensure the company is architecturally prepared for strict regulations like GDPR and CCPA. || </w:t>
      </w:r>
      <w:r w:rsidDel="00000000" w:rsidR="00000000" w:rsidRPr="00000000">
        <w:rPr>
          <w:b w:val="1"/>
          <w:bCs w:val="1"/>
          <w:rtl w:val="0"/>
        </w:rPr>
        <w:t xml:space="preserve">Facebook</w:t>
      </w:r>
      <w:r w:rsidDel="00000000" w:rsidR="00000000" w:rsidRPr="00000000">
        <w:rPr>
          <w:rtl w:val="0"/>
        </w:rPr>
        <w:t xml:space="preserve"> | </w:t>
      </w:r>
      <w:r w:rsidDel="00000000" w:rsidR="00000000" w:rsidRPr="00000000">
        <w:rPr>
          <w:b w:val="1"/>
          <w:bCs w:val="1"/>
          <w:rtl w:val="0"/>
        </w:rPr>
        <w:t xml:space="preserve">Reactive</w:t>
      </w:r>
      <w:r w:rsidDel="00000000" w:rsidR="00000000" w:rsidRPr="00000000">
        <w:rPr>
          <w:rtl w:val="0"/>
        </w:rPr>
        <w:t xml:space="preserve"> | Utilized an ad delivery algorithm that automatically discriminated by gender and race in economic opportunity ads (e.g., tech jobs for men, service jobs for women). | Resulted in a  </w:t>
      </w:r>
      <w:r w:rsidDel="00000000" w:rsidR="00000000" w:rsidRPr="00000000">
        <w:rPr>
          <w:b w:val="1"/>
          <w:bCs w:val="1"/>
          <w:rtl w:val="0"/>
        </w:rPr>
        <w:t xml:space="preserve">2022 settlement with the U.S. Department of Justice</w:t>
      </w:r>
      <w:r w:rsidDel="00000000" w:rsidR="00000000" w:rsidRPr="00000000">
        <w:rPr>
          <w:rtl w:val="0"/>
        </w:rPr>
        <w:t xml:space="preserve"> . The company was forced to modify its algorithms entirely to comply with anti-discrimination laws. |</w:t>
      </w:r>
    </w:p>
    <w:p w:rsidR="00000000" w:rsidDel="00000000" w:rsidP="00000000" w:rsidRDefault="00000000" w:rsidRPr="00000000" w14:paraId="0000000B">
      <w:pPr>
        <w:rPr/>
      </w:pPr>
      <w:r w:rsidDel="00000000" w:rsidR="00000000" w:rsidRPr="00000000">
        <w:rPr>
          <w:rtl w:val="0"/>
        </w:rPr>
        <w:t xml:space="preserve">Salesforce demonstrates that building transparency into the product architecture is a sustainable competitive advantage, whereas Facebook’s experience proves that ignoring algorithmic bias leads to severe legal repercussions and public mistrust.</w:t>
      </w:r>
    </w:p>
    <w:p w:rsidR="00000000" w:rsidDel="00000000" w:rsidP="00000000" w:rsidRDefault="00000000" w:rsidRPr="00000000" w14:paraId="0000000C">
      <w:pPr>
        <w:pStyle w:val="Heading5"/>
        <w:rPr/>
      </w:pPr>
      <w:bookmarkStart w:colFirst="0" w:colLast="0" w:name="_28hv6p21rm9w" w:id="4"/>
      <w:bookmarkEnd w:id="4"/>
      <w:r w:rsidDel="00000000" w:rsidR="00000000" w:rsidRPr="00000000">
        <w:rPr>
          <w:rtl w:val="0"/>
        </w:rPr>
        <w:t xml:space="preserve">4. The Legal and Technical Safeguards</w:t>
      </w:r>
    </w:p>
    <w:p w:rsidR="00000000" w:rsidDel="00000000" w:rsidP="00000000" w:rsidRDefault="00000000" w:rsidRPr="00000000" w14:paraId="0000000D">
      <w:pPr>
        <w:rPr/>
      </w:pPr>
      <w:r w:rsidDel="00000000" w:rsidR="00000000" w:rsidRPr="00000000">
        <w:rPr>
          <w:rtl w:val="0"/>
        </w:rPr>
        <w:t xml:space="preserve">To navigate the modern regulatory environment—governed by strict frameworks like the  </w:t>
      </w:r>
      <w:r w:rsidDel="00000000" w:rsidR="00000000" w:rsidRPr="00000000">
        <w:rPr>
          <w:b w:val="1"/>
          <w:bCs w:val="1"/>
          <w:rtl w:val="0"/>
        </w:rPr>
        <w:t xml:space="preserve">General Data Protection Regulation (GDPR)</w:t>
      </w:r>
      <w:r w:rsidDel="00000000" w:rsidR="00000000" w:rsidRPr="00000000">
        <w:rPr>
          <w:rtl w:val="0"/>
        </w:rPr>
        <w:t xml:space="preserve">  and the  </w:t>
      </w:r>
      <w:r w:rsidDel="00000000" w:rsidR="00000000" w:rsidRPr="00000000">
        <w:rPr>
          <w:b w:val="1"/>
          <w:bCs w:val="1"/>
          <w:rtl w:val="0"/>
        </w:rPr>
        <w:t xml:space="preserve">California Consumer Privacy Act (CCPA)</w:t>
      </w:r>
      <w:r w:rsidDel="00000000" w:rsidR="00000000" w:rsidRPr="00000000">
        <w:rPr>
          <w:rtl w:val="0"/>
        </w:rPr>
        <w:t xml:space="preserve"> —businesses must deploy layered technical defenses.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Anonymization and Pseudonymization:</w:t>
      </w:r>
      <w:r w:rsidDel="00000000" w:rsidR="00000000" w:rsidRPr="00000000">
        <w:rPr>
          <w:rtl w:val="0"/>
        </w:rPr>
        <w:t xml:space="preserve">  These techniques remove or mask identifying features. Pseudonymization replaces identifiers with reversible time codes under strict security regimes.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Business Benefit:</w:t>
      </w:r>
      <w:r w:rsidDel="00000000" w:rsidR="00000000" w:rsidRPr="00000000">
        <w:rPr>
          <w:rtl w:val="0"/>
        </w:rPr>
        <w:t xml:space="preserve">  Greatly simplifies compliance with GDPR’s right to privacy and protects the brand during data transit.</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This system restricts data access to specific job functions, ensuring employees only interact with the data necessary for their role.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Business Benefit:</w:t>
      </w:r>
      <w:r w:rsidDel="00000000" w:rsidR="00000000" w:rsidRPr="00000000">
        <w:rPr>
          <w:rtl w:val="0"/>
        </w:rPr>
        <w:t xml:space="preserve">  Directly neutralizes the  </w:t>
      </w:r>
      <w:r w:rsidDel="00000000" w:rsidR="00000000" w:rsidRPr="00000000">
        <w:rPr>
          <w:b w:val="1"/>
          <w:bCs w:val="1"/>
          <w:rtl w:val="0"/>
        </w:rPr>
        <w:t xml:space="preserve">68% risk of human-factor data breaches</w:t>
      </w:r>
      <w:r w:rsidDel="00000000" w:rsidR="00000000" w:rsidRPr="00000000">
        <w:rPr>
          <w:rtl w:val="0"/>
        </w:rPr>
        <w:t xml:space="preserve">  by preventing unauthorized internal access.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Differential Privacy:</w:t>
      </w:r>
      <w:r w:rsidDel="00000000" w:rsidR="00000000" w:rsidRPr="00000000">
        <w:rPr>
          <w:rtl w:val="0"/>
        </w:rPr>
        <w:t xml:space="preserve">  This involves adding "mathematical noise" to a dataset, making it nearly impossible to identify any specific individual, even while the AI extracts valid patterns from the group.</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Business Benefit:</w:t>
      </w:r>
      <w:r w:rsidDel="00000000" w:rsidR="00000000" w:rsidRPr="00000000">
        <w:rPr>
          <w:rtl w:val="0"/>
        </w:rPr>
        <w:t xml:space="preserve">  Provides "reputational insurance," allowing for deep data analysis while guaranteeing individual anonymity.</w:t>
      </w:r>
    </w:p>
    <w:p w:rsidR="00000000" w:rsidDel="00000000" w:rsidP="00000000" w:rsidRDefault="00000000" w:rsidRPr="00000000" w14:paraId="00000014">
      <w:pPr>
        <w:pStyle w:val="Heading5"/>
        <w:rPr/>
      </w:pPr>
      <w:bookmarkStart w:colFirst="0" w:colLast="0" w:name="_vxmyxzobma5q" w:id="5"/>
      <w:bookmarkEnd w:id="5"/>
      <w:r w:rsidDel="00000000" w:rsidR="00000000" w:rsidRPr="00000000">
        <w:rPr>
          <w:rtl w:val="0"/>
        </w:rPr>
        <w:t xml:space="preserve">5. Synthesis: The Future of Responsible AI</w:t>
      </w:r>
    </w:p>
    <w:p w:rsidR="00000000" w:rsidDel="00000000" w:rsidP="00000000" w:rsidRDefault="00000000" w:rsidRPr="00000000" w14:paraId="00000015">
      <w:pPr>
        <w:rPr/>
      </w:pPr>
      <w:r w:rsidDel="00000000" w:rsidR="00000000" w:rsidRPr="00000000">
        <w:rPr>
          <w:rtl w:val="0"/>
        </w:rPr>
        <w:t xml:space="preserve">As you enter a business world defined by the "AI-CRM" era, recognize that ethical integration is a multi-layered discipline. It is not a single department's responsibility, but a cohesive alignment of regulatory compliance, technical safeguards, and organizational culture.</w:t>
      </w:r>
      <w:r w:rsidDel="00000000" w:rsidR="00000000" w:rsidRPr="00000000">
        <w:rPr>
          <w:b w:val="1"/>
          <w:bCs w:val="1"/>
          <w:rtl w:val="0"/>
        </w:rPr>
        <w:t xml:space="preserve">Key Takeaway</w:t>
      </w:r>
      <w:r w:rsidDel="00000000" w:rsidR="00000000" w:rsidRPr="00000000">
        <w:rPr>
          <w:rtl w:val="0"/>
        </w:rPr>
        <w:t xml:space="preserve">  Responsible AI is a competitive advantage that transforms data from a potential liability into a trusted business asset. Organizations must move toward a "Multi-Layered Approach":</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Regulatory:</w:t>
      </w:r>
      <w:r w:rsidDel="00000000" w:rsidR="00000000" w:rsidRPr="00000000">
        <w:rPr>
          <w:rtl w:val="0"/>
        </w:rPr>
        <w:t xml:space="preserve">  Adhering to the "Fairness and Transparency" mandates of GDPR/CCPA.</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Technical:</w:t>
      </w:r>
      <w:r w:rsidDel="00000000" w:rsidR="00000000" w:rsidRPr="00000000">
        <w:rPr>
          <w:rtl w:val="0"/>
        </w:rPr>
        <w:t xml:space="preserve">  Implementing RBAC and Differential Privacy to mitigate human error and protect identities.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Organizational:</w:t>
      </w:r>
      <w:r w:rsidDel="00000000" w:rsidR="00000000" w:rsidRPr="00000000">
        <w:rPr>
          <w:rtl w:val="0"/>
        </w:rPr>
        <w:t xml:space="preserve">  Establishing Data Review Boards to audit algorithms for bias before they reach the consumer.</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