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Default="008532AE" w:rsidP="008532AE">
      <w:pPr>
        <w:pStyle w:val="a7"/>
        <w:ind w:left="0"/>
        <w:rPr>
          <w:rFonts w:ascii="Times New Roman" w:hAnsi="Times New Roman" w:cs="Times New Roman"/>
          <w:b/>
        </w:rPr>
      </w:pPr>
      <w:r>
        <w:rPr>
          <w:rFonts w:ascii="Times New Roman" w:hAnsi="Times New Roman" w:cs="Times New Roman"/>
          <w:b/>
        </w:rPr>
        <w:t>Пути решения проблемы – в настоящее время это решается чисто разработкой симуляционных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bookmarkStart w:id="0" w:name="_GoBack"/>
      <w:bookmarkEnd w:id="0"/>
    </w:p>
    <w:p w14:paraId="5C26CADD"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В нынешнее время научные исследования в разных сферах проводят немалое количество ученых, инженеров, конструкторов и других профессий с использованием сложного и дорогого оборудования. Исходя из этого уже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57416D01"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03FFAEB6" w14:textId="77777777" w:rsidR="008532AE" w:rsidRDefault="008532AE" w:rsidP="008532AE">
      <w:pPr>
        <w:pStyle w:val="a7"/>
        <w:ind w:left="0"/>
        <w:rPr>
          <w:rFonts w:ascii="Times New Roman" w:hAnsi="Times New Roman" w:cs="Times New Roman"/>
        </w:rPr>
      </w:pPr>
    </w:p>
    <w:p w14:paraId="02DE2C73"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 Существуют различные виды автоматизированных систем (АС) (например, Автоматизированная система управления (АСУ) или ее другой вариант Автоматизированная система управления технологическим процессом (АСУТП), Система автоматизированного проектирования (САПР) и др.), но АСНИ отличается от них получаемой на выходе информацией. Это в первую очередь обработанные или обобщенные данные, на основе которых получаются математические модели объектов, исследований или процессов. Также в АСНИ могут использоваться и готовые математические модели для изучения поведения тех или иных объектов и процессов, а также для уточнения самих этих моделей. Результаты же выводятся в наиболее удобной форме — </w:t>
      </w:r>
      <w:r>
        <w:rPr>
          <w:rFonts w:ascii="Times New Roman" w:hAnsi="Times New Roman" w:cs="Times New Roman"/>
        </w:rPr>
        <w:lastRenderedPageBreak/>
        <w:t>графической или символьной. На данный момент уже существуют различные АСНИ, которые используются по всему миру и помогают проводить исследования.</w:t>
      </w:r>
    </w:p>
    <w:p w14:paraId="205BF153" w14:textId="77777777" w:rsidR="008532AE" w:rsidRPr="008532AE" w:rsidRDefault="008532AE" w:rsidP="008532AE">
      <w:pPr>
        <w:pStyle w:val="a7"/>
        <w:ind w:left="0"/>
        <w:rPr>
          <w:rFonts w:ascii="Times New Roman" w:hAnsi="Times New Roman" w:cs="Times New Roman"/>
        </w:rPr>
      </w:pPr>
      <w:r>
        <w:rPr>
          <w:rFonts w:ascii="Times New Roman" w:hAnsi="Times New Roman" w:cs="Times New Roman"/>
        </w:rPr>
        <w:t xml:space="preserve"> Одна из них это </w:t>
      </w:r>
      <w:r>
        <w:rPr>
          <w:rFonts w:ascii="Times New Roman" w:hAnsi="Times New Roman" w:cs="Times New Roman"/>
          <w:lang w:val="en-US"/>
        </w:rPr>
        <w:t>EPICS</w:t>
      </w:r>
      <w:r>
        <w:rPr>
          <w:rFonts w:ascii="Times New Roman" w:hAnsi="Times New Roman" w:cs="Times New Roman"/>
        </w:rPr>
        <w:t xml:space="preserve"> (от англ. </w:t>
      </w:r>
      <w:r>
        <w:rPr>
          <w:rFonts w:ascii="Times New Roman" w:hAnsi="Times New Roman" w:cs="Times New Roman"/>
          <w:lang w:val="en-US"/>
        </w:rPr>
        <w:t>Experimental</w:t>
      </w:r>
      <w:r w:rsidRPr="008532AE">
        <w:rPr>
          <w:rFonts w:ascii="Times New Roman" w:hAnsi="Times New Roman" w:cs="Times New Roman"/>
        </w:rPr>
        <w:t xml:space="preserve"> </w:t>
      </w:r>
      <w:r>
        <w:rPr>
          <w:rFonts w:ascii="Times New Roman" w:hAnsi="Times New Roman" w:cs="Times New Roman"/>
          <w:lang w:val="en-US"/>
        </w:rPr>
        <w:t>Physics</w:t>
      </w:r>
      <w:r w:rsidRPr="008532AE">
        <w:rPr>
          <w:rFonts w:ascii="Times New Roman" w:hAnsi="Times New Roman" w:cs="Times New Roman"/>
        </w:rPr>
        <w:t xml:space="preserve"> </w:t>
      </w:r>
      <w:r>
        <w:rPr>
          <w:rFonts w:ascii="Times New Roman" w:hAnsi="Times New Roman" w:cs="Times New Roman"/>
          <w:lang w:val="en-US"/>
        </w:rPr>
        <w:t>and</w:t>
      </w:r>
      <w:r w:rsidRPr="008532AE">
        <w:rPr>
          <w:rFonts w:ascii="Times New Roman" w:hAnsi="Times New Roman" w:cs="Times New Roman"/>
        </w:rPr>
        <w:t xml:space="preserve"> </w:t>
      </w:r>
      <w:r>
        <w:rPr>
          <w:rFonts w:ascii="Times New Roman" w:hAnsi="Times New Roman" w:cs="Times New Roman"/>
          <w:lang w:val="en-US"/>
        </w:rPr>
        <w:t>Industrial</w:t>
      </w:r>
      <w:r w:rsidRPr="008532AE">
        <w:rPr>
          <w:rFonts w:ascii="Times New Roman" w:hAnsi="Times New Roman" w:cs="Times New Roman"/>
        </w:rPr>
        <w:t xml:space="preserve"> </w:t>
      </w:r>
      <w:r>
        <w:rPr>
          <w:rFonts w:ascii="Times New Roman" w:hAnsi="Times New Roman" w:cs="Times New Roman"/>
          <w:lang w:val="en-US"/>
        </w:rPr>
        <w:t>Control</w:t>
      </w:r>
      <w:r w:rsidRPr="008532AE">
        <w:rPr>
          <w:rFonts w:ascii="Times New Roman" w:hAnsi="Times New Roman" w:cs="Times New Roman"/>
        </w:rPr>
        <w:t xml:space="preserve"> </w:t>
      </w:r>
      <w:r>
        <w:rPr>
          <w:rFonts w:ascii="Times New Roman" w:hAnsi="Times New Roman" w:cs="Times New Roman"/>
          <w:lang w:val="en-US"/>
        </w:rPr>
        <w:t>System</w:t>
      </w:r>
      <w:r>
        <w:rPr>
          <w:rFonts w:ascii="Times New Roman" w:hAnsi="Times New Roman" w:cs="Times New Roman"/>
        </w:rPr>
        <w:t xml:space="preserve"> )- набор инструментов и приложений для исследования и управления в сферах физики и промышленности, разработанная в Лос-Аламосской Национальной Лаборатории (АНЛ), США. Данная АСНИ используется для разработки и запуска распределенных систем управления для научных и экспериментальных установок, таких, как ускорители частиц, телескопы и других больших установок. </w:t>
      </w:r>
    </w:p>
    <w:p w14:paraId="0245C3D1" w14:textId="77777777" w:rsidR="008532AE" w:rsidRDefault="008532AE" w:rsidP="008532AE">
      <w:pPr>
        <w:pStyle w:val="a7"/>
        <w:ind w:left="0"/>
        <w:rPr>
          <w:rFonts w:ascii="Times New Roman" w:hAnsi="Times New Roman" w:cs="Times New Roman"/>
        </w:rPr>
      </w:pPr>
      <w:r w:rsidRPr="008532AE">
        <w:rPr>
          <w:rFonts w:ascii="Times New Roman" w:hAnsi="Times New Roman" w:cs="Times New Roman"/>
        </w:rPr>
        <w:t xml:space="preserve"> </w:t>
      </w:r>
      <w:r>
        <w:rPr>
          <w:rFonts w:ascii="Times New Roman" w:hAnsi="Times New Roman" w:cs="Times New Roman"/>
        </w:rPr>
        <w:t xml:space="preserve">Также </w:t>
      </w:r>
      <w:r>
        <w:rPr>
          <w:rFonts w:ascii="Times New Roman" w:hAnsi="Times New Roman" w:cs="Times New Roman"/>
          <w:lang w:val="en-US"/>
        </w:rPr>
        <w:t>EPICS</w:t>
      </w:r>
      <w:r w:rsidRPr="008532AE">
        <w:rPr>
          <w:rFonts w:ascii="Times New Roman" w:hAnsi="Times New Roman" w:cs="Times New Roman"/>
        </w:rPr>
        <w:t xml:space="preserve"> </w:t>
      </w:r>
      <w:r>
        <w:rPr>
          <w:rFonts w:ascii="Times New Roman" w:hAnsi="Times New Roman" w:cs="Times New Roman"/>
          <w:color w:val="202122"/>
          <w:shd w:val="clear" w:color="auto" w:fill="FFFFFF"/>
        </w:rPr>
        <w:t>предоставляет возможности для работы с данными SCADA (от англ. Supervisory Control And Data Acquisition — диспетчерское управление и сбор данных).</w:t>
      </w:r>
    </w:p>
    <w:p w14:paraId="4975D80E"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EPICS использует технологии клиент–сервер и публикации–подписки для взаимодействия между компьютерами. Серверы, “контроллеры ввода-вывода” (IOCS), собирают экспериментальные и контрольные данные в режиме реального времени, используя подключенные к ним измерительные приборы. Затем эта информация предоставляется клиентам с использованием широкополосного доступа к каналам (CA) или недавно добавленных сетевых протоколов pvAccess, которые разработаны для приложений реального времени, таких как научные эксперименты.</w:t>
      </w:r>
    </w:p>
    <w:p w14:paraId="48EE7498"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IOCs (от англ. Indicator of compromise-Индикаторы компрометации) содержат базу данных "записей", представляющих устройства или аспекты устройств, которыми необходимо управлять, и взаимодействуют с ней. IOCs могут размещаться на стандартных серверах или ПК, а также на VME, MicroTCA и других стандартных процессорах для встраиваемых систем. Для приложений "жесткого реального времени" обычно используются операционные системы RTEMS или VxWorks, в то время как приложения "мягкого реального времени" обычно работают на Linux или Microsoft Windows.</w:t>
      </w:r>
    </w:p>
    <w:p w14:paraId="7EFBBE16"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Данные, хранящиеся в записях, представлены уникальными идентификаторами, известными как переменные процесса (PV). Эти PV доступны по сетевым каналам, предоставляемым протоколом CA/pvAccess.</w:t>
      </w:r>
    </w:p>
    <w:p w14:paraId="1AB84E27"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Доступно множество типов записей для различных типов ввода и вывода (например, аналоговых или двоичных) и для обеспечения функционального поведения, такого как вычисления. Также возможно создавать пользовательские типы записей. Каждая запись состоит из набора полей, которые содержат статические и динамические данные записи и определяют поведение при локальном или удаленном запросе различных функций. Большинство типов записей перечислены в справочном руководстве EPICS record reference manual.</w:t>
      </w:r>
    </w:p>
    <w:p w14:paraId="2B9AE0E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Доступны пакеты графического интерфейса пользователя, позволяющие пользователям просматривать фотоэлектрические данные и взаимодействовать с ними с помощью типичных виджетов дисплея, таких как циферблаты и текстовые поля. В качестве примеров можно привести EDM (Extensible Display Manager), MEDM (Motif/EDM) и CSS.</w:t>
      </w:r>
    </w:p>
    <w:p w14:paraId="6FB289E7"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Любое программное обеспечение, реализующее протокол CA/pvAccess, может считывать и записывать значения PV. Доступны пакеты расширений для обеспечения поддержки MATLAB, LabVIEW, Perl, Python, Tcl, ActiveX и т.д. Они могут быть использованы для написания сценариев взаимодействия с оборудованием, управляемым EPICS.</w:t>
      </w:r>
    </w:p>
    <w:p w14:paraId="2F61658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На данный момент </w:t>
      </w:r>
      <w:r>
        <w:rPr>
          <w:rFonts w:ascii="Times New Roman" w:hAnsi="Times New Roman" w:cs="Times New Roman"/>
          <w:color w:val="202122"/>
          <w:shd w:val="clear" w:color="auto" w:fill="FFFFFF"/>
          <w:lang w:val="en-US"/>
        </w:rPr>
        <w:t>EPICS</w:t>
      </w:r>
      <w:r w:rsidRPr="008532AE">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используется в таких проектах как: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другие. В основном все проекты связаны с исследованием частиц, импульсов (или же проще говоря экспериментальной физики), а также с промышленностью.</w:t>
      </w:r>
    </w:p>
    <w:p w14:paraId="468069DF"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Также существует АСНИ TANGO (от англ. TAco Next Generation Objects)- система, предназначенная для управления различным оборудованием, установками и программным обеспечением. TANGO активно разрабатывается в основном группой(сообществом) операторов синхротронов. У нее присутствует возможность работать как на нескольких машинах, так и всего на одной. В качестве сетевого протокола используется omniorb реализацию CORBA и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Взаимодействие между клиентом и сервером может быть синхронным, асинхронным (при использовании </w:t>
      </w:r>
      <w:r>
        <w:rPr>
          <w:rFonts w:ascii="Times New Roman" w:hAnsi="Times New Roman" w:cs="Times New Roman"/>
          <w:color w:val="202122"/>
          <w:shd w:val="clear" w:color="auto" w:fill="FFFFFF"/>
          <w:lang w:val="en-US"/>
        </w:rPr>
        <w:t>CORBA</w:t>
      </w:r>
      <w:r>
        <w:rPr>
          <w:rFonts w:ascii="Times New Roman" w:hAnsi="Times New Roman" w:cs="Times New Roman"/>
          <w:color w:val="202122"/>
          <w:shd w:val="clear" w:color="auto" w:fill="FFFFFF"/>
        </w:rPr>
        <w:t>) или событийно-ориентированным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w:t>
      </w:r>
    </w:p>
    <w:p w14:paraId="476A5F96"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TANGO основана на принципах устройств. Они реализуют объектно-ориентированный и сервис-ориентированный подходы к архитектуре ПО. Объектная модель TANGO поддерживает методы, атрибуты и свойства для настройки устройств. В TANGO все объекты являются представлениями устройств.</w:t>
      </w:r>
    </w:p>
    <w:p w14:paraId="56E1D395" w14:textId="77777777" w:rsidR="008532AE" w:rsidRDefault="008532AE" w:rsidP="008532AE">
      <w:pPr>
        <w:rPr>
          <w:rFonts w:ascii="Times New Roman" w:hAnsi="Times New Roman"/>
        </w:rPr>
      </w:pPr>
      <w:r>
        <w:rPr>
          <w:rFonts w:ascii="Times New Roman" w:hAnsi="Times New Roman" w:cs="Times New Roman"/>
          <w:color w:val="202122"/>
          <w:shd w:val="clear" w:color="auto" w:fill="FFFFFF"/>
        </w:rPr>
        <w:lastRenderedPageBreak/>
        <w:t>В состав TANGO входит база данных, в которой хранятся все зарегистрированные в системе устройства, среда быстрой разработки приложений, а также большое число вспомогательных инструментов.</w:t>
      </w:r>
      <w:r>
        <w:t xml:space="preserve"> </w:t>
      </w:r>
    </w:p>
    <w:p w14:paraId="307EF00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rPr>
        <w:t xml:space="preserve"> </w:t>
      </w:r>
      <w:r>
        <w:rPr>
          <w:rFonts w:ascii="Times New Roman" w:hAnsi="Times New Roman" w:cs="Times New Roman"/>
          <w:color w:val="202122"/>
          <w:shd w:val="clear" w:color="auto" w:fill="FFFFFF"/>
        </w:rPr>
        <w:t>TANGO в первую очередь используется, чтобы обеспечить сетевой доступ к оборудованию. При этом диапазон оборудования может варьироваться от простейших регистров ввода-вывода, пересылающих отдельные байты, до сложнейших систем обнаружения или систем управления заводом/предприятием. Доступ к оборудованию осуществляется с помощью процесса, называемый Сервером Устройства (англ. Device Server). Сервер устройства содержит устройства, принадлежащие к различным классам, обеспечивающие доступ к оборудованию. В процессе работы Сервера устройства создаются экземпляры, которые представляют логические экземпляры оборудования в системе управления. Клиенты взаимодействуют с устройствами (работа с базой данных и отправка запросов к устройствам), используя TANG</w:t>
      </w:r>
      <w:r>
        <w:rPr>
          <w:rFonts w:ascii="Times New Roman" w:hAnsi="Times New Roman" w:cs="Times New Roman"/>
          <w:color w:val="202122"/>
          <w:shd w:val="clear" w:color="auto" w:fill="FFFFFF"/>
          <w:lang w:val="en-US"/>
        </w:rPr>
        <w:t>O</w:t>
      </w:r>
      <w:r>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lang w:val="en-US"/>
        </w:rPr>
        <w:t>TANGO</w:t>
      </w:r>
      <w:r w:rsidRPr="008532AE">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используется в таких проектах как ELI BEAMS (Чехия), ALBA (Испания), ESRF (Франция) и др. Также данная система используется и в России, а именно в Курчатовский Источник Синхротронного Излучения (КИСИ) и в NICA (англ. Nuclotron-based Ion Collider Facility) — сверхпроводящий коллайдер протонов и тяжёлых ионов, город Дубна Моск. Области. </w:t>
      </w:r>
      <w:r>
        <w:rPr>
          <w:rFonts w:ascii="Times New Roman" w:hAnsi="Times New Roman" w:cs="Times New Roman"/>
          <w:color w:val="202122"/>
          <w:shd w:val="clear" w:color="auto" w:fill="FFFFFF"/>
        </w:rPr>
        <w:br/>
      </w:r>
    </w:p>
    <w:p w14:paraId="10CAB11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узконаправленности,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Пути решения проблемы – в настоящее время это решается чисто разработкой симуляционных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lastRenderedPageBreak/>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174B4166"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p>
    <w:p w14:paraId="3D18B448" w14:textId="77777777" w:rsidR="0014618A" w:rsidRDefault="0014618A" w:rsidP="006606D6">
      <w:pPr>
        <w:jc w:val="both"/>
        <w:rPr>
          <w:rFonts w:ascii="Times New Roman" w:hAnsi="Times New Roman" w:cs="Times New Roman"/>
        </w:rPr>
      </w:pPr>
    </w:p>
    <w:p w14:paraId="77C8F9E8" w14:textId="3A8677DA"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r>
        <w:rPr>
          <w:rFonts w:ascii="Times New Roman" w:hAnsi="Times New Roman" w:cs="Times New Roman"/>
          <w:i/>
          <w:iCs/>
          <w:lang w:val="en-US"/>
        </w:rPr>
        <w:t>Mircosoft</w:t>
      </w:r>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 ”Qt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метаобъекты для слотов и сигналов, контейнеры, например, </w:t>
            </w:r>
            <w:r w:rsidR="00A243CF">
              <w:rPr>
                <w:rFonts w:ascii="Times New Roman" w:hAnsi="Times New Roman" w:cs="Times New Roman"/>
                <w:lang w:val="en-US"/>
              </w:rPr>
              <w:t>QVector</w:t>
            </w:r>
            <w:r w:rsidR="00A243CF" w:rsidRPr="00A243CF">
              <w:rPr>
                <w:rFonts w:ascii="Times New Roman" w:hAnsi="Times New Roman" w:cs="Times New Roman"/>
              </w:rPr>
              <w:t xml:space="preserve">, </w:t>
            </w:r>
            <w:r w:rsidR="00A243CF">
              <w:rPr>
                <w:rFonts w:ascii="Times New Roman" w:hAnsi="Times New Roman" w:cs="Times New Roman"/>
                <w:lang w:val="en-US"/>
              </w:rPr>
              <w:t>QLine</w:t>
            </w:r>
            <w:r w:rsidR="00A243CF" w:rsidRPr="00A243CF">
              <w:rPr>
                <w:rFonts w:ascii="Times New Roman" w:hAnsi="Times New Roman" w:cs="Times New Roman"/>
              </w:rPr>
              <w:t xml:space="preserve">, </w:t>
            </w:r>
            <w:r w:rsidR="00A243CF">
              <w:rPr>
                <w:rFonts w:ascii="Times New Roman" w:hAnsi="Times New Roman" w:cs="Times New Roman"/>
                <w:lang w:val="en-US"/>
              </w:rPr>
              <w:t>QPoint</w:t>
            </w:r>
            <w:r w:rsidR="00A243CF" w:rsidRPr="00A243CF">
              <w:rPr>
                <w:rFonts w:ascii="Times New Roman" w:hAnsi="Times New Roman" w:cs="Times New Roman"/>
              </w:rPr>
              <w:t xml:space="preserve">, </w:t>
            </w:r>
            <w:r w:rsidR="00A243CF">
              <w:rPr>
                <w:rFonts w:ascii="Times New Roman" w:hAnsi="Times New Roman" w:cs="Times New Roman"/>
                <w:lang w:val="en-US"/>
              </w:rPr>
              <w:t>QMap</w:t>
            </w:r>
            <w:r w:rsidR="00A243CF" w:rsidRPr="00A243CF">
              <w:rPr>
                <w:rFonts w:ascii="Times New Roman" w:hAnsi="Times New Roman" w:cs="Times New Roman"/>
              </w:rPr>
              <w:t xml:space="preserve">, </w:t>
            </w:r>
            <w:r w:rsidR="00A243CF">
              <w:rPr>
                <w:rFonts w:ascii="Times New Roman" w:hAnsi="Times New Roman" w:cs="Times New Roman"/>
                <w:lang w:val="en-US"/>
              </w:rPr>
              <w:t>QRect</w:t>
            </w:r>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r w:rsidR="00A243CF">
              <w:rPr>
                <w:rFonts w:ascii="Times New Roman" w:hAnsi="Times New Roman" w:cs="Times New Roman"/>
                <w:lang w:val="en-US"/>
              </w:rPr>
              <w:t>QEvent</w:t>
            </w:r>
            <w:r w:rsidR="00A243CF" w:rsidRPr="008532AE">
              <w:rPr>
                <w:rFonts w:ascii="Times New Roman" w:hAnsi="Times New Roman" w:cs="Times New Roman"/>
              </w:rPr>
              <w: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r>
              <w:rPr>
                <w:rFonts w:ascii="Times New Roman" w:hAnsi="Times New Roman" w:cs="Times New Roman"/>
                <w:lang w:val="en-US"/>
              </w:rPr>
              <w:t>QPixmap</w:t>
            </w:r>
            <w:r w:rsidRPr="00A243CF">
              <w:rPr>
                <w:rFonts w:ascii="Times New Roman" w:hAnsi="Times New Roman" w:cs="Times New Roman"/>
              </w:rPr>
              <w:t xml:space="preserve">, </w:t>
            </w:r>
            <w:r>
              <w:rPr>
                <w:rFonts w:ascii="Times New Roman" w:hAnsi="Times New Roman" w:cs="Times New Roman"/>
                <w:lang w:val="en-US"/>
              </w:rPr>
              <w:t>QPainter</w:t>
            </w:r>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дашборде.</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lastRenderedPageBreak/>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r>
              <w:rPr>
                <w:rFonts w:ascii="Times New Roman" w:hAnsi="Times New Roman" w:cs="Times New Roman"/>
                <w:lang w:val="en-US"/>
              </w:rPr>
              <w:t>QApplication</w:t>
            </w:r>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r w:rsidR="006B7D69" w:rsidRPr="006B7D69">
        <w:rPr>
          <w:rFonts w:ascii="Times New Roman" w:hAnsi="Times New Roman" w:cs="Times New Roman"/>
          <w:lang w:val="en-US"/>
        </w:rPr>
        <w:t>TEST</w:t>
      </w:r>
      <w:r w:rsidR="006B7D69" w:rsidRPr="006B7D69">
        <w:rPr>
          <w:rFonts w:ascii="Times New Roman" w:hAnsi="Times New Roman" w:cs="Times New Roman"/>
        </w:rPr>
        <w:t>(</w:t>
      </w:r>
      <w:r w:rsidR="006B7D69">
        <w:rPr>
          <w:rFonts w:ascii="Times New Roman" w:hAnsi="Times New Roman" w:cs="Times New Roman"/>
          <w:lang w:val="en-US"/>
        </w:rPr>
        <w:t>GroupName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GroupName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r w:rsidR="006B7D69">
        <w:rPr>
          <w:rFonts w:ascii="Times New Roman" w:hAnsi="Times New Roman" w:cs="Times New Roman"/>
          <w:i/>
          <w:iCs/>
          <w:lang w:val="en-US"/>
        </w:rPr>
        <w:t>TestName</w:t>
      </w:r>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r w:rsidR="006B7D69">
        <w:rPr>
          <w:rFonts w:ascii="Times New Roman" w:hAnsi="Times New Roman" w:cs="Times New Roman"/>
          <w:lang w:val="en-US"/>
        </w:rPr>
        <w:t>F</w:t>
      </w:r>
      <w:r w:rsidR="006B7D69" w:rsidRPr="006B7D69">
        <w:rPr>
          <w:rFonts w:ascii="Times New Roman" w:hAnsi="Times New Roman" w:cs="Times New Roman"/>
        </w:rPr>
        <w:t>(</w:t>
      </w:r>
      <w:r w:rsidR="006B7D69">
        <w:rPr>
          <w:rFonts w:ascii="Times New Roman" w:hAnsi="Times New Roman" w:cs="Times New Roman"/>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rPr>
        <w:t xml:space="preserve">и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17058596" w:rsidR="0006666F" w:rsidRPr="00AC1A58"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r w:rsidR="0006666F" w:rsidRPr="00ED0C98">
        <w:rPr>
          <w:rFonts w:ascii="Times New Roman" w:hAnsi="Times New Roman" w:cs="Times New Roman"/>
          <w:i/>
          <w:iCs/>
          <w:lang w:val="en-US"/>
        </w:rPr>
        <w:t>libpq</w:t>
      </w:r>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r>
        <w:rPr>
          <w:rFonts w:ascii="Times New Roman" w:hAnsi="Times New Roman" w:cs="Times New Roman"/>
        </w:rPr>
        <w:t>используемых для формирования запросов</w:t>
      </w:r>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r>
        <w:rPr>
          <w:rFonts w:ascii="Times New Roman" w:hAnsi="Times New Roman" w:cs="Times New Roman"/>
          <w:i/>
          <w:iCs/>
          <w:lang w:val="en-US"/>
        </w:rPr>
        <w:t>PostreSQL</w:t>
      </w:r>
      <w:r w:rsidRPr="00ED0C98">
        <w:rPr>
          <w:rFonts w:ascii="Times New Roman" w:hAnsi="Times New Roman" w:cs="Times New Roman"/>
        </w:rPr>
        <w:t>”: “</w:t>
      </w:r>
      <w:r w:rsidRPr="00ED0C98">
        <w:rPr>
          <w:rFonts w:ascii="Times New Roman" w:hAnsi="Times New Roman" w:cs="Times New Roman"/>
          <w:i/>
          <w:iCs/>
          <w:lang w:val="en-US"/>
        </w:rPr>
        <w:t>libpq</w:t>
      </w:r>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r w:rsidRPr="00ED0C98">
        <w:rPr>
          <w:rFonts w:ascii="Times New Roman" w:hAnsi="Times New Roman" w:cs="Times New Roman"/>
          <w:i/>
          <w:iCs/>
          <w:lang w:val="en-US"/>
        </w:rPr>
        <w:t>libpqxx</w:t>
      </w:r>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r>
        <w:rPr>
          <w:rFonts w:ascii="Times New Roman" w:hAnsi="Times New Roman" w:cs="Times New Roman"/>
          <w:lang w:val="en-US"/>
        </w:rPr>
        <w:t>libpq</w:t>
      </w:r>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sectPr w:rsidR="0006666F" w:rsidRPr="00AC1A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980B8" w14:textId="77777777" w:rsidR="0059052D" w:rsidRDefault="0059052D">
      <w:pPr>
        <w:spacing w:line="240" w:lineRule="auto"/>
      </w:pPr>
      <w:r>
        <w:separator/>
      </w:r>
    </w:p>
  </w:endnote>
  <w:endnote w:type="continuationSeparator" w:id="0">
    <w:p w14:paraId="0D436A14" w14:textId="77777777" w:rsidR="0059052D" w:rsidRDefault="0059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SimSu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ptos Display">
    <w:altName w:val="Segoe Print"/>
    <w:charset w:val="00"/>
    <w:family w:val="swiss"/>
    <w:pitch w:val="default"/>
    <w:sig w:usb0="00000000"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E6B4D" w14:textId="77777777" w:rsidR="0059052D" w:rsidRDefault="0059052D">
      <w:pPr>
        <w:spacing w:after="0"/>
      </w:pPr>
      <w:r>
        <w:separator/>
      </w:r>
    </w:p>
  </w:footnote>
  <w:footnote w:type="continuationSeparator" w:id="0">
    <w:p w14:paraId="2E196725" w14:textId="77777777" w:rsidR="0059052D" w:rsidRDefault="005905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6666F"/>
    <w:rsid w:val="000C2375"/>
    <w:rsid w:val="000F5C53"/>
    <w:rsid w:val="00111E56"/>
    <w:rsid w:val="0014618A"/>
    <w:rsid w:val="001D0FCA"/>
    <w:rsid w:val="00205FD4"/>
    <w:rsid w:val="00293F54"/>
    <w:rsid w:val="002A7842"/>
    <w:rsid w:val="002F3050"/>
    <w:rsid w:val="00313314"/>
    <w:rsid w:val="00361F9F"/>
    <w:rsid w:val="0036488E"/>
    <w:rsid w:val="003E5476"/>
    <w:rsid w:val="00511742"/>
    <w:rsid w:val="0059052D"/>
    <w:rsid w:val="005C7E75"/>
    <w:rsid w:val="006606D6"/>
    <w:rsid w:val="00685948"/>
    <w:rsid w:val="006912ED"/>
    <w:rsid w:val="006B7D69"/>
    <w:rsid w:val="00753339"/>
    <w:rsid w:val="00757B9A"/>
    <w:rsid w:val="007821D4"/>
    <w:rsid w:val="008532AE"/>
    <w:rsid w:val="008B65D0"/>
    <w:rsid w:val="008C0271"/>
    <w:rsid w:val="00917EF7"/>
    <w:rsid w:val="00A243CF"/>
    <w:rsid w:val="00AC1A58"/>
    <w:rsid w:val="00B0005B"/>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2778</Words>
  <Characters>15836</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Денис Мельник</cp:lastModifiedBy>
  <cp:revision>15</cp:revision>
  <dcterms:created xsi:type="dcterms:W3CDTF">2024-05-15T13:35:00Z</dcterms:created>
  <dcterms:modified xsi:type="dcterms:W3CDTF">2024-05-31T11:13:00Z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