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  <w:numPr>
          <w:ilvl w:val="0"/>
          <w:numId w:val="1"/>
        </w:numPr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3"/>
          <w:numId w:val="4"/>
        </w:numPr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3"/>
          <w:numId w:val="4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3"/>
          <w:numId w:val="4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、在保证甲方用户正常功能和保护数据的前提下，乙方技术工程师有权决定解决问题的方案。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、甲方报障时请预约时间，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"http://www.lawtime.cn/info/zhuanti/2010071337698.html"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承诺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从报障时计最快</w:t>
      </w:r>
      <w:r>
        <w:rPr>
          <w:rFonts w:hint="eastAsia" w:ascii="Arial Narrow" w:hAnsi="Arial Narrow"/>
          <w:color w:val="000000"/>
          <w:sz w:val="18"/>
          <w:szCs w:val="18"/>
        </w:rPr>
        <w:t>两</w:t>
      </w:r>
      <w:r>
        <w:rPr>
          <w:rFonts w:hint="eastAsia"/>
          <w:color w:val="000000"/>
          <w:sz w:val="18"/>
          <w:szCs w:val="18"/>
        </w:rPr>
        <w:t>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3"/>
          <w:numId w:val="4"/>
        </w:numPr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3"/>
          <w:numId w:val="4"/>
        </w:numPr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