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  <w:numPr>
          <w:ilvl w:val="1"/>
          <w:numId w:val="2"/>
        </w:numPr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（三）、硬件维护范围：电脑各类硬件维护及故障检测。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（四</w:t>
      </w:r>
      <w:r>
        <w:rPr>
          <w:color w:val="000000"/>
          <w:sz w:val="18"/>
          <w:szCs w:val="18"/>
        </w:rPr>
        <w:t>）</w:t>
      </w:r>
      <w:r>
        <w:rPr>
          <w:rFonts w:hint="eastAsia"/>
          <w:color w:val="000000"/>
          <w:sz w:val="18"/>
          <w:szCs w:val="18"/>
        </w:rPr>
        <w:t>、软件维护范围：电脑各类系统软件、工具应用软件安装维护。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在保证甲方用户正常功能和保护数据的前提下，乙方技术工程师有权决定解决问题的方案。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甲方报障时请预约时间，承诺从报障时计最快两小时内到达，如有特殊情况，乙方会向甲方说明，具体时间再由甲方和乙方约定。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