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p/>
    <w:p/>
    <w:p/>
    <w:p/>
    <w:p/>
    <w:p>
      <w:pPr>
        <w:jc w:val="center"/>
      </w:pPr>
      <w:r>
        <w:rPr>
          <w:b w:val="on"/>
          <w:sz w:val="64"/>
          <w:rFonts w:ascii="微软雅黑" w:hAnsi="微软雅黑" w:cs="微软雅黑" w:eastAsia="微软雅黑"/>
          <w:color w:val="1F4E79"/>
        </w:rPr>
        <w:t>尽职调查报告</w:t>
      </w:r>
    </w:p>
    <w:p/>
    <w:p>
      <w:pPr>
        <w:jc w:val="center"/>
      </w:pPr>
      <w:r>
        <w:rPr>
          <w:sz w:val="36"/>
          <w:rFonts w:ascii="微软雅黑" w:hAnsi="微软雅黑" w:cs="微软雅黑" w:eastAsia="微软雅黑"/>
          <w:color w:val="2E75B6"/>
        </w:rPr>
        <w:t>某公司股权收购项目</w:t>
      </w:r>
    </w:p>
    <w:p/>
    <w:p/>
    <w:p/>
    <w:p/>
    <w:p>
      <w:pPr>
        <w:spacing w:after="120"/>
        <w:jc w:val="center"/>
      </w:pPr>
      <w:r>
        <w:rPr>
          <w:sz w:val="28"/>
          <w:rFonts w:ascii="宋体" w:hAnsi="宋体" w:cs="宋体" w:eastAsia="宋体"/>
          <w:color w:val="404040"/>
        </w:rPr>
        <w:t>编制单位：广东某律师事务所</w:t>
      </w:r>
    </w:p>
    <w:p>
      <w:pPr>
        <w:spacing w:after="120"/>
        <w:jc w:val="center"/>
      </w:pPr>
      <w:r>
        <w:rPr>
          <w:sz w:val="28"/>
          <w:rFonts w:ascii="宋体" w:hAnsi="宋体" w:cs="宋体" w:eastAsia="宋体"/>
          <w:color w:val="404040"/>
        </w:rPr>
        <w:t>编制日期：2026年6月5日</w:t>
      </w:r>
    </w:p>
    <w:p>
      <w:pPr>
        <w:spacing w:after="120"/>
        <w:jc w:val="center"/>
      </w:pPr>
      <w:r>
        <w:rPr>
          <w:sz w:val="28"/>
          <w:rFonts w:ascii="宋体" w:hAnsi="宋体" w:cs="宋体" w:eastAsia="宋体"/>
          <w:color w:val="404040"/>
        </w:rPr>
        <w:t>密级：保密</w:t>
      </w:r>
    </w:p>
    <w:p>
      <w:pPr>
        <w:jc w:val="center"/>
      </w:pPr>
      <w:r>
        <w:rPr>
          <w:color w:val="CCCCCC"/>
        </w:rPr>
        <w:t>——————————————————</w:t>
      </w:r>
    </w:p>
    <w:p>
      <w:pPr>
        <w:spacing w:before="200"/>
        <w:jc w:val="center"/>
      </w:pPr>
      <w:r>
        <w:rPr>
          <w:sz w:val="28"/>
          <w:rFonts w:ascii="宋体" w:hAnsi="宋体" w:cs="宋体" w:eastAsia="宋体"/>
        </w:rPr>
        <w:t>目标公司</w:t>
      </w:r>
    </w:p>
    <w:p>
      <w:pPr>
        <w:sectPr>
          <w:type w:val="nextPage"/>
          <w:pgSz w:w="11906"/>
          <w:pgSz w:h="16838"/>
          <w:pgMar w:top="1440"/>
          <w:pgMar w:bottom="1440"/>
          <w:pgMar w:left="1800"/>
          <w:pgMar w:right="1800"/>
        </w:sectPr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目  录</w:t>
      </w:r>
    </w:p>
    <w:p>
      <w:r>
        <w:rPr>
          <w:color w:val="999999"/>
          <w:i w:val="on"/>
          <w:sz w:val="20"/>
        </w:rPr>
        <w:t>（请在 Word 中右键更新域以生成目录）</w:t>
      </w:r>
    </w:p>
    <w:p>
      <w:fldSimple w:instr=" TOC \o &quot;1-3&quot; \h \z \u "/>
    </w:p>
    <w:p>
      <w:pPr>
        <w:sectPr>
          <w:type w:val="nextPage"/>
          <w:pgSz w:w="11906"/>
          <w:pgSz w:h="16838"/>
          <w:pgMar w:top="1440"/>
          <w:pgMar w:bottom="1440"/>
          <w:pgMar w:left="1800"/>
          <w:pgMar w:right="1800"/>
        </w:sectPr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一、公司概况</w:t>
      </w:r>
    </w:p>
    <w:p>
      <w:pPr>
        <w:pStyle w:val="Heading2"/>
      </w:pPr>
      <w:r>
        <w:rPr>
          <w:b w:val="on"/>
          <w:sz w:val="32"/>
          <w:rFonts w:ascii="微软雅黑" w:hAnsi="微软雅黑" w:cs="微软雅黑" w:eastAsia="微软雅黑"/>
        </w:rPr>
        <w:t>1.1 基本信息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公司名称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目标公司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统一社会信用代码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91440100MA5XXXXXX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注册资本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1000万元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成立日期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2015-01-01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法定代表人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王五</w:t>
            </w:r>
          </w:p>
        </w:tc>
      </w:tr>
      <w:tr>
        <w:tc>
          <w:p>
            <w:r>
              <w:rPr>
                <w:rFonts w:ascii="黑体" w:hAnsi="黑体" w:cs="黑体" w:eastAsia="黑体"/>
                <w:sz w:val="20"/>
                <w:b w:val="on"/>
              </w:rPr>
              <w:t>经营范围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科技开发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二、股权结构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F4E79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股东名称</w:t>
            </w:r>
          </w:p>
        </w:tc>
        <w:tc>
          <w:tcPr>
            <w:shd w:color="auto" w:val="clear" w:fill="1F4E79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持股比例</w:t>
            </w:r>
          </w:p>
        </w:tc>
        <w:tc>
          <w:tcPr>
            <w:shd w:color="auto" w:val="clear" w:fill="1F4E79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类型</w:t>
            </w:r>
          </w:p>
        </w:tc>
        <w:tc>
          <w:tcPr>
            <w:shd w:color="auto" w:val="clear" w:fill="1F4E79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出资方式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张三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60.00%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自然人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货币</w:t>
            </w:r>
          </w:p>
        </w:tc>
      </w:tr>
      <w:tr>
        <w:tc>
          <w:tcPr>
            <w:shd w:color="auto" w:val="clear" w:fill="F2F2F2"/>
          </w:tcPr>
          <w:p>
            <w:r>
              <w:rPr>
                <w:rFonts w:ascii="宋体" w:hAnsi="宋体" w:cs="宋体" w:eastAsia="宋体"/>
                <w:sz w:val="20"/>
              </w:rPr>
              <w:t>李四</w:t>
            </w:r>
          </w:p>
        </w:tc>
        <w:tc>
          <w:tcPr>
            <w:shd w:color="auto" w:val="clear" w:fill="F2F2F2"/>
          </w:tcPr>
          <w:p>
            <w:r>
              <w:rPr>
                <w:rFonts w:ascii="宋体" w:hAnsi="宋体" w:cs="宋体" w:eastAsia="宋体"/>
                <w:sz w:val="20"/>
              </w:rPr>
              <w:t>40.00%</w:t>
            </w:r>
          </w:p>
        </w:tc>
        <w:tc>
          <w:tcPr>
            <w:shd w:color="auto" w:val="clear" w:fill="F2F2F2"/>
          </w:tcPr>
          <w:p>
            <w:r>
              <w:rPr>
                <w:rFonts w:ascii="宋体" w:hAnsi="宋体" w:cs="宋体" w:eastAsia="宋体"/>
                <w:sz w:val="20"/>
              </w:rPr>
              <w:t>自然人</w:t>
            </w:r>
          </w:p>
        </w:tc>
        <w:tc>
          <w:tcPr>
            <w:shd w:color="auto" w:val="clear" w:fill="F2F2F2"/>
          </w:tcPr>
          <w:p>
            <w:r>
              <w:rPr>
                <w:rFonts w:ascii="宋体" w:hAnsi="宋体" w:cs="宋体" w:eastAsia="宋体"/>
                <w:sz w:val="20"/>
              </w:rPr>
              <w:t>实物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三、财务概况</w:t>
      </w:r>
    </w:p>
    <w:p>
      <w:pPr>
        <w:pStyle w:val="Heading2"/>
      </w:pPr>
      <w:r>
        <w:rPr>
          <w:b w:val="on"/>
          <w:sz w:val="32"/>
          <w:rFonts w:ascii="微软雅黑" w:hAnsi="微软雅黑" w:cs="微软雅黑" w:eastAsia="微软雅黑"/>
        </w:rPr>
        <w:t>3.1 主要财务指标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6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年度</w:t>
            </w:r>
          </w:p>
        </w:tc>
        <w:tc>
          <w:tcPr>
            <w:shd w:color="auto" w:val="clear" w:fill="2E75B6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营业收入(万元)</w:t>
            </w:r>
          </w:p>
        </w:tc>
        <w:tc>
          <w:tcPr>
            <w:shd w:color="auto" w:val="clear" w:fill="2E75B6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净利润(万元)</w:t>
            </w:r>
          </w:p>
        </w:tc>
        <w:tc>
          <w:tcPr>
            <w:shd w:color="auto" w:val="clear" w:fill="2E75B6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总资产(万元)</w:t>
            </w:r>
          </w:p>
        </w:tc>
        <w:tc>
          <w:tcPr>
            <w:shd w:color="auto" w:val="clear" w:fill="2E75B6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总负债(万元)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2023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5000.00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800.00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10000.00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6000.00</w:t>
            </w:r>
          </w:p>
        </w:tc>
      </w:tr>
      <w:tr>
        <w:tc>
          <w:tcPr>
            <w:shd w:color="auto" w:val="clear" w:fill="F2F2F2"/>
          </w:tcPr>
          <w:p>
            <w:r>
              <w:rPr>
                <w:rFonts w:ascii="宋体" w:hAnsi="宋体" w:cs="宋体" w:eastAsia="宋体"/>
                <w:sz w:val="20"/>
              </w:rPr>
              <w:t>2024</w:t>
            </w:r>
          </w:p>
        </w:tc>
        <w:tc>
          <w:tcPr>
            <w:shd w:color="auto" w:val="clear" w:fill="F2F2F2"/>
          </w:tcPr>
          <w:p>
            <w:r>
              <w:rPr>
                <w:rFonts w:ascii="宋体" w:hAnsi="宋体" w:cs="宋体" w:eastAsia="宋体"/>
                <w:sz w:val="20"/>
              </w:rPr>
              <w:t>6000.00</w:t>
            </w:r>
          </w:p>
        </w:tc>
        <w:tc>
          <w:tcPr>
            <w:shd w:color="auto" w:val="clear" w:fill="F2F2F2"/>
          </w:tcPr>
          <w:p>
            <w:r>
              <w:rPr>
                <w:rFonts w:ascii="宋体" w:hAnsi="宋体" w:cs="宋体" w:eastAsia="宋体"/>
                <w:sz w:val="20"/>
              </w:rPr>
              <w:t>1000.00</w:t>
            </w:r>
          </w:p>
        </w:tc>
        <w:tc>
          <w:tcPr>
            <w:shd w:color="auto" w:val="clear" w:fill="F2F2F2"/>
          </w:tcPr>
          <w:p>
            <w:r>
              <w:rPr>
                <w:rFonts w:ascii="宋体" w:hAnsi="宋体" w:cs="宋体" w:eastAsia="宋体"/>
                <w:sz w:val="20"/>
              </w:rPr>
              <w:t>12000.00</w:t>
            </w:r>
          </w:p>
        </w:tc>
        <w:tc>
          <w:tcPr>
            <w:shd w:color="auto" w:val="clear" w:fill="F2F2F2"/>
          </w:tcPr>
          <w:p>
            <w:r>
              <w:rPr>
                <w:rFonts w:ascii="宋体" w:hAnsi="宋体" w:cs="宋体" w:eastAsia="宋体"/>
                <w:sz w:val="20"/>
              </w:rPr>
              <w:t>7000.00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 w:val="on"/>
          <w:sz w:val="32"/>
          <w:rFonts w:ascii="微软雅黑" w:hAnsi="微软雅黑" w:cs="微软雅黑" w:eastAsia="微软雅黑"/>
        </w:rPr>
        <w:t>3.2 营收趋势</w:t>
      </w:r>
    </w:p>
    <w:p>
      <w:pPr>
        <w:jc w:val="center"/>
      </w:pPr>
      <w:r>
        <w:rPr>
          <w:sz w:val="20"/>
          <w:rFonts w:ascii="宋体" w:hAnsi="宋体" w:cs="宋体" w:eastAsia="宋体"/>
          <w:i w:val="on"/>
          <w:color w:val="666666"/>
        </w:rPr>
        <w:t>营收趋势：2023年 5000万元 → 2024年 6000万元</w:t>
      </w:r>
    </w:p>
    <w:p>
      <w:pPr>
        <w:sectPr>
          <w:type w:val="nextPage"/>
          <w:pgSz w:w="11906"/>
          <w:pgSz w:h="16838"/>
          <w:pgMar w:top="1440"/>
          <w:pgMar w:bottom="1440"/>
          <w:pgMar w:left="1800"/>
          <w:pgMar w:right="1800"/>
        </w:sectPr>
      </w:pPr>
    </w:p>
    <w:p>
      <w:pPr>
        <w:pStyle w:val="Heading1"/>
      </w:pPr>
      <w:r>
        <w:rPr>
          <w:b w:val="on"/>
          <w:sz w:val="44"/>
          <w:rFonts w:ascii="微软雅黑" w:hAnsi="微软雅黑" w:cs="微软雅黑" w:eastAsia="微软雅黑"/>
        </w:rPr>
        <w:t>四、风险评估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C0392B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风险类别</w:t>
            </w:r>
          </w:p>
        </w:tc>
        <w:tc>
          <w:tcPr>
            <w:shd w:color="auto" w:val="clear" w:fill="C0392B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风险描述</w:t>
            </w:r>
          </w:p>
        </w:tc>
        <w:tc>
          <w:tcPr>
            <w:shd w:color="auto" w:val="clear" w:fill="C0392B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严重程度</w:t>
            </w:r>
          </w:p>
        </w:tc>
        <w:tc>
          <w:tcPr>
            <w:shd w:color="auto" w:val="clear" w:fill="C0392B"/>
          </w:tcPr>
          <w:p>
            <w:pPr>
              <w:jc w:val="center"/>
            </w:pPr>
            <w:r>
              <w:rPr>
                <w:b w:val="on"/>
                <w:color w:val="FFFFFF"/>
                <w:rFonts w:ascii="微软雅黑" w:hAnsi="微软雅黑" w:cs="微软雅黑" w:eastAsia="微软雅黑"/>
                <w:sz w:val="22"/>
              </w:rPr>
              <w:t>建议措施</w:t>
            </w:r>
          </w:p>
        </w:tc>
      </w:tr>
      <w:tr>
        <w:tc>
          <w:p>
            <w:r>
              <w:rPr>
                <w:rFonts w:ascii="宋体" w:hAnsi="宋体" w:cs="宋体" w:eastAsia="宋体"/>
                <w:sz w:val="20"/>
              </w:rPr>
              <w:t>法律风险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存在未决诉讼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中</w:t>
            </w:r>
          </w:p>
        </w:tc>
        <w:tc>
          <w:p>
            <w:r>
              <w:rPr>
                <w:rFonts w:ascii="宋体" w:hAnsi="宋体" w:cs="宋体" w:eastAsia="宋体"/>
                <w:sz w:val="20"/>
              </w:rPr>
              <w:t>要求陈述与保证</w:t>
            </w:r>
          </w:p>
        </w:tc>
      </w:tr>
    </w:tbl>
    <w:p>
      <w:pPr>
        <w:sectPr>
          <w:type w:val="nextPage"/>
          <w:pgSz w:w="11906"/>
          <w:pgSz w:h="16838"/>
          <w:pgMar w:top="1440"/>
          <w:pgMar w:bottom="1440"/>
          <w:pgMar w:left="1800"/>
          <w:pgMar w:right="1800"/>
        </w:sectPr>
      </w:pPr>
    </w:p>
    <w:p>
      <w:pPr>
        <w:pStyle w:val="Heading2"/>
      </w:pPr>
      <w:r>
        <w:rPr>
          <w:b w:val="on"/>
          <w:sz w:val="32"/>
          <w:rFonts w:ascii="微软雅黑" w:hAnsi="微软雅黑" w:cs="微软雅黑" w:eastAsia="微软雅黑"/>
        </w:rPr>
        <w:t>五、公司治理</w:t>
      </w:r>
    </w:p>
    <w:p>
      <w:pPr>
        <w:spacing w:after="100"/>
        <w:ind w:firstLine="480"/>
        <w:jc w:val="both"/>
      </w:pPr>
      <w:r>
        <w:rPr>
          <w:rFonts w:ascii="宋体" w:hAnsi="宋体" w:cs="宋体" w:eastAsia="宋体"/>
          <w:sz w:val="24"/>
        </w:rPr>
        <w:t>公司治理结构基本规范。</w:t>
      </w:r>
    </w:p>
    <w:p>
      <w:r>
        <w:rPr>
          <w:rFonts w:ascii="宋体" w:hAnsi="宋体" w:cs="宋体" w:eastAsia="宋体"/>
          <w:sz w:val="24"/>
        </w:rPr>
        <w:t>• 董事会5人</w:t>
      </w:r>
    </w:p>
    <w:p>
      <w:r>
        <w:rPr>
          <w:rFonts w:ascii="宋体" w:hAnsi="宋体" w:cs="宋体" w:eastAsia="宋体"/>
          <w:sz w:val="24"/>
        </w:rPr>
        <w:t>• 监事会3人</w:t>
      </w:r>
    </w:p>
    <w:p>
      <w:pPr>
        <w:spacing w:after="100"/>
      </w:pPr>
    </w:p>
    <w:p>
      <w:pPr>
        <w:spacing w:before="600"/>
      </w:pPr>
    </w:p>
    <w:p>
      <w:pPr>
        <w:jc w:val="left"/>
      </w:pPr>
      <w:r>
        <w:rPr>
          <w:rFonts w:ascii="宋体" w:hAnsi="宋体" w:cs="宋体" w:eastAsia="宋体"/>
          <w:sz w:val="18"/>
          <w:color w:val="999999"/>
          <w:i w:val="on"/>
        </w:rPr>
        <w:t>免责声明：本报告仅供内部参考，不构成法律意见。报告内容基于公开信息及委托人提供的资料整理而成，不保证信息的完整性和准确性。</w:t>
      </w:r>
    </w:p>
    <w:p>
      <w:pPr>
        <w:spacing w:after="400"/>
      </w:pPr>
    </w:p>
    <w:p>
      <w:pPr>
        <w:jc w:val="right"/>
      </w:pPr>
      <w:r>
        <w:rPr>
          <w:rFonts w:ascii="宋体" w:hAnsi="宋体" w:cs="宋体" w:eastAsia="宋体"/>
          <w:sz w:val="24"/>
        </w:rPr>
        <w:t>广东某律师事务所</w:t>
      </w:r>
    </w:p>
    <w:p>
      <w:pPr>
        <w:jc w:val="right"/>
      </w:pPr>
      <w:r>
        <w:rPr>
          <w:rFonts w:ascii="宋体" w:hAnsi="宋体" w:cs="宋体" w:eastAsia="宋体"/>
          <w:sz w:val="24"/>
        </w:rPr>
        <w:t>2026年6月5日</w:t>
      </w:r>
    </w:p>
    <w:sectPr>
      <w:headerReference w:type="default" r:id="rId2"/>
      <w:footerReference w:type="default" r:id="rId3"/>
      <w:pgSz w:w="11906"/>
      <w:pgSz w:h="16838"/>
      <w:pgMar w:top="1440"/>
      <w:pgMar w:bottom="1440"/>
      <w:pgMar w:left="1800"/>
      <w:pgMar w:right="1800"/>
      <w:pgMar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第 </w:t>
    </w:r>
    <w:fldSimple w:instr=" PAGE "/>
    <w:r>
      <w:rPr>
        <w:sz w:val="18"/>
        <w:color w:val="666666"/>
      </w:rPr>
      <w:t xml:space="preserve"> 页 / 共 </w:t>
    </w:r>
    <w:fldSimple w:instr=" NUMPAGES "/>
    <w:r>
      <w:rPr>
        <w:sz w:val="18"/>
        <w:color w:val="666666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999999"/>
        <w:rFonts w:ascii="微软雅黑" w:hAnsi="微软雅黑" w:cs="微软雅黑" w:eastAsia="微软雅黑"/>
      </w:rPr>
      <w:t>某公司股权收购项目 | 保密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2026-06-05T12:58:34Z</dcterms:created>
  <dc:creator>Apache POI</dc:creator>
</cp:coreProperties>
</file>