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（三）、硬件维护范围：电脑各类硬件维护及故障检测。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（四</w:t>
      </w:r>
      <w:r>
        <w:rPr>
          <w:color w:val="000000"/>
          <w:sz w:val="18"/>
          <w:szCs w:val="18"/>
        </w:rPr>
        <w:t>）</w:t>
      </w:r>
      <w:r>
        <w:rPr>
          <w:rFonts w:hint="eastAsia"/>
          <w:color w:val="000000"/>
          <w:sz w:val="18"/>
          <w:szCs w:val="18"/>
        </w:rPr>
        <w:t>、软件维护范围：电脑各类系统软件、工具应用软件安装维护。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在保证甲方用户正常功能和保护数据的前提下，乙方技术工程师有权决定解决问题的方案。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甲方报障时请预约时间，承诺从报障时计最快两小时内到达，如有特殊情况，乙方会向甲方说明，具体时间再由甲方和乙方约定。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