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47C46E">
      <w:pPr>
        <w:keepNext w:val="0"/>
        <w:keepLines w:val="0"/>
        <w:pageBreakBefore w:val="0"/>
        <w:kinsoku/>
        <w:wordWrap/>
        <w:overflowPunct/>
        <w:topLinePunct w:val="0"/>
        <w:autoSpaceDE/>
        <w:autoSpaceDN/>
        <w:bidi w:val="0"/>
        <w:adjustRightInd w:val="0"/>
        <w:snapToGrid w:val="0"/>
        <w:spacing w:line="360" w:lineRule="auto"/>
        <w:ind w:left="0" w:leftChars="0" w:right="0"/>
        <w:jc w:val="right"/>
        <w:textAlignment w:val="auto"/>
        <w:rPr>
          <w:b/>
          <w:szCs w:val="21"/>
        </w:rPr>
      </w:pPr>
      <w:r>
        <w:rPr>
          <w:rFonts w:hint="eastAsia"/>
          <w:b/>
          <w:szCs w:val="21"/>
        </w:rPr>
        <w:t>广顾字</w:t>
      </w:r>
      <w:r>
        <w:rPr>
          <w:rFonts w:hint="eastAsia"/>
          <w:b/>
          <w:szCs w:val="21"/>
          <w:lang w:eastAsia="zh-CN"/>
        </w:rPr>
        <w:t>（</w:t>
      </w:r>
      <w:r>
        <w:rPr>
          <w:rFonts w:hint="eastAsia"/>
          <w:b/>
          <w:szCs w:val="21"/>
          <w:lang w:val="en-US" w:eastAsia="zh-CN"/>
        </w:rPr>
        <w:t>{{年份}}）</w:t>
      </w:r>
      <w:r>
        <w:rPr>
          <w:rFonts w:hint="eastAsia"/>
          <w:b/>
          <w:szCs w:val="21"/>
        </w:rPr>
        <w:t>第</w:t>
      </w:r>
      <w:r>
        <w:rPr>
          <w:b/>
          <w:szCs w:val="21"/>
        </w:rPr>
        <w:t xml:space="preserve">       </w:t>
      </w:r>
      <w:r>
        <w:rPr>
          <w:rFonts w:hint="eastAsia"/>
          <w:b/>
          <w:szCs w:val="21"/>
        </w:rPr>
        <w:t>号</w:t>
      </w:r>
    </w:p>
    <w:p w14:paraId="3AC1588C">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both"/>
        <w:textAlignment w:val="auto"/>
        <w:rPr>
          <w:rFonts w:ascii="微软雅黑" w:hAnsi="微软雅黑" w:eastAsia="微软雅黑"/>
          <w:sz w:val="72"/>
          <w:szCs w:val="72"/>
        </w:rPr>
      </w:pPr>
    </w:p>
    <w:p w14:paraId="18240A9E">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both"/>
        <w:textAlignment w:val="auto"/>
        <w:rPr>
          <w:rFonts w:ascii="微软雅黑" w:hAnsi="微软雅黑" w:eastAsia="微软雅黑"/>
          <w:sz w:val="72"/>
          <w:szCs w:val="72"/>
        </w:rPr>
      </w:pPr>
    </w:p>
    <w:p w14:paraId="353D847A">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textAlignment w:val="auto"/>
        <w:rPr>
          <w:rFonts w:ascii="微软雅黑" w:hAnsi="微软雅黑" w:eastAsia="微软雅黑"/>
          <w:sz w:val="48"/>
          <w:szCs w:val="48"/>
        </w:rPr>
      </w:pPr>
      <w:r>
        <w:rPr>
          <w:rFonts w:hint="eastAsia" w:ascii="微软雅黑" w:hAnsi="微软雅黑" w:eastAsia="微软雅黑"/>
          <w:sz w:val="48"/>
          <w:szCs w:val="48"/>
        </w:rPr>
        <w:t>北京（广州）律师事务所</w:t>
      </w:r>
    </w:p>
    <w:p w14:paraId="16266E39">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textAlignment w:val="auto"/>
        <w:rPr>
          <w:sz w:val="72"/>
          <w:szCs w:val="72"/>
        </w:rPr>
      </w:pPr>
      <w:r>
        <w:rPr>
          <w:rFonts w:hint="eastAsia" w:ascii="微软雅黑" w:hAnsi="微软雅黑" w:eastAsia="微软雅黑"/>
          <w:b/>
          <w:bCs/>
          <w:sz w:val="72"/>
          <w:szCs w:val="72"/>
        </w:rPr>
        <w:t>常年法律顾问合同</w:t>
      </w:r>
    </w:p>
    <w:p w14:paraId="5E0AFEF8">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426D3737">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0CA4D9A0">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0771BE92">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left"/>
        <w:textAlignment w:val="auto"/>
      </w:pPr>
    </w:p>
    <w:p w14:paraId="35009FB9">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textAlignment w:val="auto"/>
      </w:pPr>
    </w:p>
    <w:p w14:paraId="142E3327">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eastAsia="黑体"/>
          <w:b/>
          <w:sz w:val="32"/>
        </w:rPr>
      </w:pPr>
    </w:p>
    <w:p w14:paraId="5EC770E3">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eastAsia="黑体"/>
          <w:b/>
          <w:sz w:val="32"/>
        </w:rPr>
      </w:pPr>
    </w:p>
    <w:p w14:paraId="4DC1C4A1">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eastAsia="黑体"/>
          <w:b/>
          <w:sz w:val="32"/>
        </w:rPr>
      </w:pPr>
    </w:p>
    <w:p w14:paraId="28E0BEAB">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hint="eastAsia" w:eastAsia="黑体"/>
          <w:b/>
          <w:sz w:val="36"/>
          <w:szCs w:val="36"/>
        </w:rPr>
        <w:sectPr>
          <w:headerReference r:id="rId3" w:type="default"/>
          <w:pgSz w:w="11906" w:h="16838"/>
          <w:pgMar w:top="2268" w:right="1134" w:bottom="1588" w:left="1134" w:header="851" w:footer="992" w:gutter="0"/>
          <w:pgNumType w:start="0"/>
          <w:cols w:space="0" w:num="1"/>
          <w:titlePg/>
          <w:docGrid w:type="lines" w:linePitch="312" w:charSpace="0"/>
        </w:sectPr>
      </w:pPr>
    </w:p>
    <w:p w14:paraId="3FF4AC72">
      <w:pPr>
        <w:keepNext w:val="0"/>
        <w:keepLines w:val="0"/>
        <w:pageBreakBefore w:val="0"/>
        <w:kinsoku/>
        <w:wordWrap/>
        <w:overflowPunct/>
        <w:topLinePunct w:val="0"/>
        <w:autoSpaceDE/>
        <w:autoSpaceDN/>
        <w:bidi w:val="0"/>
        <w:adjustRightInd w:val="0"/>
        <w:snapToGrid w:val="0"/>
        <w:spacing w:line="360" w:lineRule="auto"/>
        <w:ind w:left="0" w:leftChars="0" w:right="0"/>
        <w:jc w:val="center"/>
        <w:textAlignment w:val="auto"/>
        <w:rPr>
          <w:rFonts w:eastAsia="黑体"/>
          <w:b/>
          <w:sz w:val="36"/>
          <w:szCs w:val="36"/>
        </w:rPr>
      </w:pPr>
      <w:r>
        <w:rPr>
          <w:rFonts w:hint="eastAsia" w:eastAsia="黑体"/>
          <w:b/>
          <w:sz w:val="36"/>
          <w:szCs w:val="36"/>
        </w:rPr>
        <w:t>常年法律顾问合同</w:t>
      </w:r>
    </w:p>
    <w:p w14:paraId="5DBF1ABA">
      <w:pPr>
        <w:keepNext w:val="0"/>
        <w:keepLines w:val="0"/>
        <w:pageBreakBefore w:val="0"/>
        <w:kinsoku/>
        <w:wordWrap/>
        <w:overflowPunct/>
        <w:topLinePunct w:val="0"/>
        <w:autoSpaceDE/>
        <w:autoSpaceDN/>
        <w:bidi w:val="0"/>
        <w:adjustRightInd w:val="0"/>
        <w:snapToGrid w:val="0"/>
        <w:spacing w:line="360" w:lineRule="auto"/>
        <w:ind w:left="0" w:leftChars="0" w:right="0"/>
        <w:jc w:val="right"/>
        <w:textAlignment w:val="auto"/>
        <w:rPr>
          <w:b/>
          <w:szCs w:val="21"/>
        </w:rPr>
      </w:pPr>
    </w:p>
    <w:p w14:paraId="3DD8D77D">
      <w:pPr>
        <w:keepNext w:val="0"/>
        <w:keepLines w:val="0"/>
        <w:pageBreakBefore w:val="0"/>
        <w:kinsoku/>
        <w:wordWrap/>
        <w:overflowPunct/>
        <w:topLinePunct w:val="0"/>
        <w:autoSpaceDE/>
        <w:autoSpaceDN/>
        <w:bidi w:val="0"/>
        <w:adjustRightInd w:val="0"/>
        <w:snapToGrid w:val="0"/>
        <w:spacing w:line="360" w:lineRule="auto"/>
        <w:ind w:left="0" w:leftChars="0" w:right="0"/>
        <w:jc w:val="right"/>
        <w:textAlignment w:val="auto"/>
        <w:rPr>
          <w:b/>
          <w:szCs w:val="21"/>
        </w:rPr>
      </w:pPr>
      <w:r>
        <w:rPr>
          <w:rFonts w:hint="eastAsia"/>
          <w:b/>
          <w:szCs w:val="21"/>
        </w:rPr>
        <w:t>广顾字</w:t>
      </w:r>
      <w:r>
        <w:rPr>
          <w:rFonts w:hint="eastAsia"/>
          <w:b/>
          <w:szCs w:val="21"/>
          <w:lang w:eastAsia="zh-CN"/>
        </w:rPr>
        <w:t>（</w:t>
      </w:r>
      <w:r>
        <w:rPr>
          <w:rFonts w:hint="eastAsia"/>
          <w:b/>
          <w:szCs w:val="21"/>
          <w:lang w:val="en-US" w:eastAsia="zh-CN"/>
        </w:rPr>
        <w:t>{{年份}}）</w:t>
      </w:r>
      <w:r>
        <w:rPr>
          <w:rFonts w:hint="eastAsia"/>
          <w:b/>
          <w:szCs w:val="21"/>
        </w:rPr>
        <w:t>第</w:t>
      </w:r>
      <w:r>
        <w:rPr>
          <w:b/>
          <w:szCs w:val="21"/>
        </w:rPr>
        <w:t xml:space="preserve">      </w:t>
      </w:r>
      <w:r>
        <w:rPr>
          <w:rFonts w:hint="eastAsia"/>
          <w:b/>
          <w:szCs w:val="21"/>
        </w:rPr>
        <w:t>号</w:t>
      </w:r>
    </w:p>
    <w:p w14:paraId="1B90050E">
      <w:pPr>
        <w:keepNext w:val="0"/>
        <w:keepLines w:val="0"/>
        <w:pageBreakBefore w:val="0"/>
        <w:kinsoku/>
        <w:wordWrap/>
        <w:overflowPunct/>
        <w:topLinePunct w:val="0"/>
        <w:autoSpaceDE/>
        <w:autoSpaceDN/>
        <w:bidi w:val="0"/>
        <w:adjustRightInd w:val="0"/>
        <w:snapToGrid w:val="0"/>
        <w:spacing w:line="360" w:lineRule="auto"/>
        <w:ind w:left="0" w:leftChars="0" w:right="0" w:hanging="540"/>
        <w:textAlignment w:val="auto"/>
        <w:rPr>
          <w:b/>
          <w:sz w:val="24"/>
        </w:rPr>
      </w:pPr>
    </w:p>
    <w:p w14:paraId="100665E7">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hint="eastAsia"/>
          <w:b/>
          <w:sz w:val="24"/>
        </w:rPr>
      </w:pPr>
      <w:r>
        <w:rPr>
          <w:rFonts w:hint="eastAsia"/>
          <w:b/>
          <w:sz w:val="24"/>
        </w:rPr>
        <w:t>{{委托人信息}}</w:t>
      </w:r>
    </w:p>
    <w:p w14:paraId="43DDFFAB">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hint="eastAsia"/>
          <w:b/>
          <w:sz w:val="24"/>
        </w:rPr>
      </w:pPr>
    </w:p>
    <w:p w14:paraId="7F6FC892">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b/>
          <w:sz w:val="24"/>
        </w:rPr>
      </w:pPr>
      <w:r>
        <w:rPr>
          <w:rFonts w:hint="eastAsia"/>
          <w:b/>
          <w:sz w:val="24"/>
        </w:rPr>
        <w:t>乙方：北京（广州）律师事务所</w:t>
      </w:r>
    </w:p>
    <w:p w14:paraId="0CC64A86">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ascii="宋体" w:hAnsi="宋体"/>
          <w:bCs/>
          <w:sz w:val="24"/>
        </w:rPr>
      </w:pPr>
      <w:r>
        <w:rPr>
          <w:rFonts w:hint="eastAsia" w:ascii="宋体" w:hAnsi="宋体"/>
          <w:b/>
          <w:sz w:val="24"/>
        </w:rPr>
        <w:t>地址：</w:t>
      </w:r>
    </w:p>
    <w:p w14:paraId="657455C0">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ascii="宋体" w:hAnsi="宋体"/>
          <w:bCs/>
          <w:sz w:val="24"/>
        </w:rPr>
      </w:pPr>
      <w:r>
        <w:rPr>
          <w:rFonts w:hint="eastAsia" w:ascii="宋体" w:hAnsi="宋体"/>
          <w:b/>
          <w:sz w:val="24"/>
        </w:rPr>
        <w:t>电话：</w:t>
      </w:r>
    </w:p>
    <w:p w14:paraId="757E57CF">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ascii="宋体" w:hAnsi="宋体"/>
          <w:bCs/>
          <w:sz w:val="24"/>
        </w:rPr>
      </w:pPr>
      <w:r>
        <w:rPr>
          <w:rFonts w:hint="eastAsia" w:ascii="宋体" w:hAnsi="宋体"/>
          <w:b/>
          <w:sz w:val="24"/>
        </w:rPr>
        <w:t>传真：</w:t>
      </w:r>
    </w:p>
    <w:p w14:paraId="2AFAFE97">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sz w:val="24"/>
        </w:rPr>
      </w:pPr>
    </w:p>
    <w:p w14:paraId="622619C0">
      <w:pPr>
        <w:keepNext w:val="0"/>
        <w:keepLines w:val="0"/>
        <w:pageBreakBefore w:val="0"/>
        <w:kinsoku/>
        <w:wordWrap/>
        <w:overflowPunct/>
        <w:topLinePunct w:val="0"/>
        <w:autoSpaceDE/>
        <w:autoSpaceDN/>
        <w:bidi w:val="0"/>
        <w:adjustRightInd w:val="0"/>
        <w:snapToGrid w:val="0"/>
        <w:spacing w:line="360" w:lineRule="auto"/>
        <w:ind w:left="0" w:leftChars="0" w:right="0" w:firstLine="540"/>
        <w:textAlignment w:val="auto"/>
        <w:rPr>
          <w:rFonts w:hint="eastAsia" w:asciiTheme="majorEastAsia" w:hAnsiTheme="majorEastAsia" w:eastAsiaTheme="majorEastAsia" w:cstheme="majorEastAsia"/>
          <w:spacing w:val="6"/>
          <w:sz w:val="24"/>
          <w:szCs w:val="24"/>
        </w:rPr>
      </w:pPr>
      <w:r>
        <w:rPr>
          <w:rFonts w:hint="eastAsia" w:asciiTheme="majorEastAsia" w:hAnsiTheme="majorEastAsia" w:eastAsiaTheme="majorEastAsia" w:cstheme="majorEastAsia"/>
          <w:sz w:val="24"/>
          <w:szCs w:val="24"/>
        </w:rPr>
        <w:t>甲方因业务发展和</w:t>
      </w:r>
      <w:r>
        <w:rPr>
          <w:rFonts w:hint="eastAsia" w:asciiTheme="majorEastAsia" w:hAnsiTheme="majorEastAsia" w:eastAsiaTheme="majorEastAsia" w:cstheme="majorEastAsia"/>
          <w:spacing w:val="6"/>
          <w:sz w:val="24"/>
          <w:szCs w:val="24"/>
        </w:rPr>
        <w:t>维护自身利益的</w:t>
      </w:r>
      <w:r>
        <w:rPr>
          <w:rFonts w:hint="eastAsia" w:asciiTheme="majorEastAsia" w:hAnsiTheme="majorEastAsia" w:eastAsiaTheme="majorEastAsia" w:cstheme="majorEastAsia"/>
          <w:sz w:val="24"/>
          <w:szCs w:val="24"/>
        </w:rPr>
        <w:t>需要，根据《中华人民共和国民法典》《中华人民共和国律师法》的有关规定，聘请乙方的律师作为甲方（服务对象名单见附件，以下统称“甲方”）的法律顾问。甲乙双方按照诚实信用原则，经协商一致，</w:t>
      </w:r>
      <w:r>
        <w:rPr>
          <w:rFonts w:hint="eastAsia" w:asciiTheme="majorEastAsia" w:hAnsiTheme="majorEastAsia" w:eastAsiaTheme="majorEastAsia" w:cstheme="majorEastAsia"/>
          <w:spacing w:val="6"/>
          <w:sz w:val="24"/>
          <w:szCs w:val="24"/>
        </w:rPr>
        <w:t>立此合同，共同遵守。</w:t>
      </w:r>
    </w:p>
    <w:p w14:paraId="1537833E">
      <w:pPr>
        <w:keepNext w:val="0"/>
        <w:keepLines w:val="0"/>
        <w:pageBreakBefore w:val="0"/>
        <w:numPr>
          <w:ilvl w:val="0"/>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z w:val="24"/>
          <w:szCs w:val="24"/>
        </w:rPr>
        <w:t>乙方的</w:t>
      </w:r>
      <w:r>
        <w:rPr>
          <w:rFonts w:hint="eastAsia" w:asciiTheme="minorEastAsia" w:hAnsiTheme="minorEastAsia" w:eastAsiaTheme="minorEastAsia" w:cstheme="minorEastAsia"/>
          <w:b/>
          <w:spacing w:val="6"/>
          <w:sz w:val="24"/>
          <w:szCs w:val="24"/>
        </w:rPr>
        <w:t>服务范围</w:t>
      </w:r>
    </w:p>
    <w:p w14:paraId="5681658E">
      <w:pPr>
        <w:keepNext w:val="0"/>
        <w:keepLines w:val="0"/>
        <w:pageBreakBefore w:val="0"/>
        <w:numPr>
          <w:ilvl w:val="-1"/>
          <w:numId w:val="0"/>
        </w:numPr>
        <w:kinsoku/>
        <w:wordWrap/>
        <w:overflowPunct/>
        <w:topLinePunct w:val="0"/>
        <w:autoSpaceDE/>
        <w:autoSpaceDN/>
        <w:bidi w:val="0"/>
        <w:adjustRightInd w:val="0"/>
        <w:snapToGrid w:val="0"/>
        <w:spacing w:line="360" w:lineRule="auto"/>
        <w:ind w:left="400" w:leftChars="0" w:right="0" w:firstLine="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乙方律师的服务内容为协助甲方处理与甲方日常经营管理相关的如下法律事务，包括：</w:t>
      </w:r>
    </w:p>
    <w:p w14:paraId="4ED0E92E">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解答法律咨询，依法提供建议；</w:t>
      </w:r>
    </w:p>
    <w:p w14:paraId="75D78B62">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出具律师函</w:t>
      </w:r>
      <w:r>
        <w:rPr>
          <w:rFonts w:hint="eastAsia" w:asciiTheme="minorEastAsia" w:hAnsiTheme="minorEastAsia" w:eastAsiaTheme="minorEastAsia" w:cstheme="minorEastAsia"/>
          <w:sz w:val="24"/>
          <w:szCs w:val="24"/>
          <w:lang w:val="en-US" w:bidi="zh-CN"/>
        </w:rPr>
        <w:t xml:space="preserve"> </w:t>
      </w:r>
      <w:r>
        <w:rPr>
          <w:rFonts w:hint="eastAsia" w:asciiTheme="minorEastAsia" w:hAnsiTheme="minorEastAsia" w:eastAsiaTheme="minorEastAsia" w:cstheme="minorEastAsia"/>
          <w:sz w:val="24"/>
          <w:szCs w:val="24"/>
          <w:lang w:bidi="zh-CN"/>
        </w:rPr>
        <w:t>、</w:t>
      </w:r>
      <w:r>
        <w:rPr>
          <w:rFonts w:hint="eastAsia" w:asciiTheme="minorEastAsia" w:hAnsiTheme="minorEastAsia" w:eastAsiaTheme="minorEastAsia" w:cstheme="minorEastAsia"/>
          <w:sz w:val="24"/>
          <w:szCs w:val="24"/>
        </w:rPr>
        <w:t>咨询回复或法律意见</w:t>
      </w:r>
      <w:r>
        <w:rPr>
          <w:rFonts w:hint="eastAsia" w:asciiTheme="minorEastAsia" w:hAnsiTheme="minorEastAsia" w:eastAsiaTheme="minorEastAsia" w:cstheme="minorEastAsia"/>
          <w:sz w:val="24"/>
          <w:szCs w:val="24"/>
          <w:lang w:bidi="zh-CN"/>
        </w:rPr>
        <w:t>；</w:t>
      </w:r>
    </w:p>
    <w:p w14:paraId="688A840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协助草拟、</w:t>
      </w:r>
      <w:r>
        <w:rPr>
          <w:rFonts w:hint="eastAsia" w:asciiTheme="minorEastAsia" w:hAnsiTheme="minorEastAsia" w:eastAsiaTheme="minorEastAsia" w:cstheme="minorEastAsia"/>
          <w:sz w:val="24"/>
          <w:szCs w:val="24"/>
        </w:rPr>
        <w:t>制订</w:t>
      </w:r>
      <w:r>
        <w:rPr>
          <w:rFonts w:hint="eastAsia" w:asciiTheme="minorEastAsia" w:hAnsiTheme="minorEastAsia" w:eastAsiaTheme="minorEastAsia" w:cstheme="minorEastAsia"/>
          <w:sz w:val="24"/>
          <w:szCs w:val="24"/>
          <w:lang w:bidi="zh-CN"/>
        </w:rPr>
        <w:t>、</w:t>
      </w:r>
      <w:r>
        <w:rPr>
          <w:rFonts w:hint="eastAsia" w:asciiTheme="minorEastAsia" w:hAnsiTheme="minorEastAsia" w:eastAsiaTheme="minorEastAsia" w:cstheme="minorEastAsia"/>
          <w:sz w:val="24"/>
          <w:szCs w:val="24"/>
        </w:rPr>
        <w:t>审查及修改</w:t>
      </w:r>
      <w:r>
        <w:rPr>
          <w:rFonts w:hint="eastAsia" w:asciiTheme="minorEastAsia" w:hAnsiTheme="minorEastAsia" w:eastAsiaTheme="minorEastAsia" w:cstheme="minorEastAsia"/>
          <w:sz w:val="24"/>
          <w:szCs w:val="24"/>
          <w:lang w:bidi="zh-CN"/>
        </w:rPr>
        <w:t>合同、</w:t>
      </w:r>
      <w:r>
        <w:rPr>
          <w:rFonts w:hint="eastAsia" w:asciiTheme="minorEastAsia" w:hAnsiTheme="minorEastAsia" w:eastAsiaTheme="minorEastAsia" w:cstheme="minorEastAsia"/>
          <w:sz w:val="24"/>
          <w:szCs w:val="24"/>
        </w:rPr>
        <w:t>公司内部管理规章、规范性文件等</w:t>
      </w:r>
      <w:r>
        <w:rPr>
          <w:rFonts w:hint="eastAsia" w:asciiTheme="minorEastAsia" w:hAnsiTheme="minorEastAsia" w:eastAsiaTheme="minorEastAsia" w:cstheme="minorEastAsia"/>
          <w:sz w:val="24"/>
          <w:szCs w:val="24"/>
          <w:lang w:bidi="zh-CN"/>
        </w:rPr>
        <w:t>法律</w:t>
      </w:r>
      <w:r>
        <w:rPr>
          <w:rFonts w:hint="eastAsia" w:asciiTheme="minorEastAsia" w:hAnsiTheme="minorEastAsia" w:eastAsiaTheme="minorEastAsia" w:cstheme="minorEastAsia"/>
          <w:sz w:val="24"/>
          <w:szCs w:val="24"/>
        </w:rPr>
        <w:t>文书；</w:t>
      </w:r>
    </w:p>
    <w:p w14:paraId="241198D0">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lang w:bidi="zh-CN"/>
        </w:rPr>
      </w:pPr>
      <w:r>
        <w:rPr>
          <w:rFonts w:hint="eastAsia" w:asciiTheme="minorEastAsia" w:hAnsiTheme="minorEastAsia" w:eastAsiaTheme="minorEastAsia" w:cstheme="minorEastAsia"/>
          <w:sz w:val="24"/>
          <w:szCs w:val="24"/>
          <w:lang w:bidi="zh-CN"/>
        </w:rPr>
        <w:t>应甲方要求，对业务进行法律分析、论证，针对重大决策的合法性、可行性、风险预测及对策提供法律依据和法律意见；</w:t>
      </w:r>
    </w:p>
    <w:p w14:paraId="1F898459">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bidi="zh-CN"/>
        </w:rPr>
        <w:t>应甲方要求，为甲方提供相关人员培训服务（二次），内容由甲方根据自身需要提前选择（选择范围为：人力资源管理、知识产权、虚假宣传、不正当竞争、民法典公司篇、民法典合同篇、民法典担保篇不超过</w:t>
      </w:r>
      <w:r>
        <w:rPr>
          <w:rFonts w:hint="eastAsia" w:asciiTheme="minorEastAsia" w:hAnsiTheme="minorEastAsia" w:eastAsiaTheme="minorEastAsia" w:cstheme="minorEastAsia"/>
          <w:sz w:val="24"/>
          <w:szCs w:val="24"/>
          <w:lang w:val="en-US" w:bidi="zh-CN"/>
        </w:rPr>
        <w:t>三</w:t>
      </w:r>
      <w:r>
        <w:rPr>
          <w:rFonts w:hint="eastAsia" w:asciiTheme="minorEastAsia" w:hAnsiTheme="minorEastAsia" w:eastAsiaTheme="minorEastAsia" w:cstheme="minorEastAsia"/>
          <w:sz w:val="24"/>
          <w:szCs w:val="24"/>
          <w:lang w:bidi="zh-CN"/>
        </w:rPr>
        <w:t>项）；</w:t>
      </w:r>
    </w:p>
    <w:p w14:paraId="08491376">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以协商、谈判、调解等方式参与处理尚未形成诉讼的民事纠纷、经济纠纷、行政纠纷和其他纠纷；代理甲方涉及经济、民事、知识产权、劳动、行政、刑事等进入诉讼或者仲裁法律程序的各类诉讼、仲裁、行政复议案件（另行办理委托手续，法律服务费用酌情、优惠收取，下同）；</w:t>
      </w:r>
    </w:p>
    <w:p w14:paraId="5A413B51">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为甲方涉及长期投资、融资、企业改制、重组、并购、上市、股票发行、合并、分立、解散、破产、注销等提供专项法律服务（另行办理委托手续）；</w:t>
      </w:r>
    </w:p>
    <w:p w14:paraId="39ACB1F4">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接受企业法律风险管理专项委托，提供法律风险识别、法律风险原因分析、法律风险危害后果评估、诊断，制定企业法律风险管理的分项或整体解决方案（另行办理委托手续）。</w:t>
      </w:r>
    </w:p>
    <w:p w14:paraId="2E51C974">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乙方的义务</w:t>
      </w:r>
    </w:p>
    <w:p w14:paraId="0C1CF282">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乙方委派</w:t>
      </w:r>
      <w:r>
        <w:rPr>
          <w:rFonts w:hint="eastAsia" w:asciiTheme="minorEastAsia" w:hAnsiTheme="minorEastAsia" w:eastAsiaTheme="minorEastAsia" w:cstheme="minorEastAsia"/>
          <w:sz w:val="24"/>
          <w:szCs w:val="24"/>
          <w:u w:val="single"/>
        </w:rPr>
        <w:t xml:space="preserve"> {{律师姓名}}  </w:t>
      </w:r>
      <w:r>
        <w:rPr>
          <w:rFonts w:hint="eastAsia" w:asciiTheme="minorEastAsia" w:hAnsiTheme="minorEastAsia" w:eastAsiaTheme="minorEastAsia" w:cstheme="minorEastAsia"/>
          <w:sz w:val="24"/>
          <w:szCs w:val="24"/>
        </w:rPr>
        <w:t>律师作为甲方法律顾问，甲方同意上述律师指派其他律师或律师助理配合完成前述法律事务工作，但乙方更换律师担任甲方法律顾问应取得甲方认可；</w:t>
      </w:r>
    </w:p>
    <w:p w14:paraId="5D91150F">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乙方律师应当勤勉、尽责地完成第一条第一款所列法律事务工作；</w:t>
      </w:r>
    </w:p>
    <w:p w14:paraId="311FA417">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乙方律师应当以其依据法律作出的判断，尽最大努力维护甲方利益；</w:t>
      </w:r>
    </w:p>
    <w:p w14:paraId="11AE38D8">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乙方律师应当在取得甲方提供的文件资料后，及时完成委托事项，并应甲方要求通报工作进程；</w:t>
      </w:r>
    </w:p>
    <w:p w14:paraId="20EEF759">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乙方律师在担任法律顾问期间，不得为甲方员工个人提供任何不利于甲方的咨询意见；</w:t>
      </w:r>
    </w:p>
    <w:p w14:paraId="088A8FA3">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z w:val="24"/>
          <w:szCs w:val="24"/>
        </w:rPr>
        <w:t>乙方律师在以甲方为一方当事人的对抗性案件或者交易活动中，未经甲方同意，不得同时为与甲方具有法律上利益冲突的另一方提供法律服务；</w:t>
      </w:r>
    </w:p>
    <w:p w14:paraId="2BE34414">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z w:val="24"/>
          <w:szCs w:val="24"/>
        </w:rPr>
        <w:t>乙方律师对其获知的甲方商业机密负有保密责任，非由法律规定或者甲方同意，不得向任何第三方披露；</w:t>
      </w:r>
    </w:p>
    <w:p w14:paraId="1B696B0C">
      <w:pPr>
        <w:pStyle w:val="5"/>
        <w:keepNext w:val="0"/>
        <w:keepLines w:val="0"/>
        <w:pageBreakBefore w:val="0"/>
        <w:numPr>
          <w:ilvl w:val="1"/>
          <w:numId w:val="1"/>
        </w:numPr>
        <w:tabs>
          <w:tab w:val="left" w:pos="0"/>
        </w:tabs>
        <w:kinsoku/>
        <w:wordWrap/>
        <w:overflowPunct/>
        <w:topLinePunct w:val="0"/>
        <w:autoSpaceDE/>
        <w:autoSpaceDN/>
        <w:bidi w:val="0"/>
        <w:adjustRightInd w:val="0"/>
        <w:snapToGrid w:val="0"/>
        <w:spacing w:after="0"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乙方对甲方业务应当单独建档，应当保存完整的工作记录，对涉及</w:t>
      </w:r>
      <w:r>
        <w:rPr>
          <w:rFonts w:hint="eastAsia" w:asciiTheme="minorEastAsia" w:hAnsiTheme="minorEastAsia" w:eastAsiaTheme="minorEastAsia" w:cstheme="minorEastAsia"/>
          <w:sz w:val="24"/>
          <w:szCs w:val="24"/>
        </w:rPr>
        <w:t>甲方的原始证据、法律文件和财物应当妥善保管。相关档案、文件保管期限为本合同终止之日起两年。</w:t>
      </w:r>
    </w:p>
    <w:p w14:paraId="15D56786">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甲方的义务</w:t>
      </w:r>
    </w:p>
    <w:p w14:paraId="50D2A0A8">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应当全面、客观和及时地向乙方提供与法律事务有关的各种情况、文件、资料并对所提供资料的真实性、合法性、准确性、有效性负责，否则应承担由此产生的不利后果。材料原件在双方之间的交接，以经双方</w:t>
      </w:r>
      <w:bookmarkStart w:id="0" w:name="_Hlk66107160"/>
      <w:r>
        <w:rPr>
          <w:rFonts w:hint="eastAsia" w:asciiTheme="minorEastAsia" w:hAnsiTheme="minorEastAsia" w:eastAsiaTheme="minorEastAsia" w:cstheme="minorEastAsia"/>
          <w:sz w:val="24"/>
          <w:szCs w:val="24"/>
        </w:rPr>
        <w:t>签字或盖章</w:t>
      </w:r>
      <w:bookmarkEnd w:id="0"/>
      <w:r>
        <w:rPr>
          <w:rFonts w:hint="eastAsia" w:asciiTheme="minorEastAsia" w:hAnsiTheme="minorEastAsia" w:eastAsiaTheme="minorEastAsia" w:cstheme="minorEastAsia"/>
          <w:sz w:val="24"/>
          <w:szCs w:val="24"/>
        </w:rPr>
        <w:t>的材料移交清单为准。</w:t>
      </w:r>
      <w:bookmarkStart w:id="1" w:name="_Hlk66107039"/>
      <w:r>
        <w:rPr>
          <w:rFonts w:hint="eastAsia" w:asciiTheme="minorEastAsia" w:hAnsiTheme="minorEastAsia" w:eastAsiaTheme="minorEastAsia" w:cstheme="minorEastAsia"/>
          <w:sz w:val="24"/>
          <w:szCs w:val="24"/>
        </w:rPr>
        <w:t>由于甲方提供的情况及文件、资料有误、虚假、存在重大遗漏或误导性陈述，而导致乙方出具不恰当的法律意见，乙方不承担由此产生的后果和责任；</w:t>
      </w:r>
    </w:p>
    <w:bookmarkEnd w:id="1"/>
    <w:p w14:paraId="62D6BA51">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z w:val="24"/>
          <w:szCs w:val="24"/>
        </w:rPr>
        <w:t>甲方应当</w:t>
      </w:r>
      <w:r>
        <w:rPr>
          <w:rFonts w:hint="eastAsia" w:asciiTheme="minorEastAsia" w:hAnsiTheme="minorEastAsia" w:eastAsiaTheme="minorEastAsia" w:cstheme="minorEastAsia"/>
          <w:spacing w:val="6"/>
          <w:sz w:val="24"/>
          <w:szCs w:val="24"/>
        </w:rPr>
        <w:t>为乙方律师办理法律事务提出明确、合法、合理的要求，并给予乙方合理的工作时间；若需要乙方律师参加有关会议、审查合同，事先需提交必要的材料，以使受指派律师有一定的时间准备（甲方一般应提前3个工作日通知乙方，若合同涉及重大复杂事项，上述时限适当延长）；</w:t>
      </w:r>
    </w:p>
    <w:p w14:paraId="44187E78">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pacing w:val="6"/>
          <w:sz w:val="24"/>
          <w:szCs w:val="24"/>
        </w:rPr>
        <w:t>甲方应当按时、足额向乙方支付法律顾问费和工作费用；</w:t>
      </w:r>
    </w:p>
    <w:p w14:paraId="5374546C">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甲方指定</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为法律顾问的联系人，负责转达甲方的指示和要求，提供文件和资料等，甲方更换联系人应当书面通知乙方；</w:t>
      </w:r>
    </w:p>
    <w:p w14:paraId="6F6BC4A1">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甲方根据自身实际情况对委托事项作出最终独立判断或决策，乙方律师的法律意见仅为参考性建议。 </w:t>
      </w:r>
    </w:p>
    <w:p w14:paraId="4BEB2F38">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乙方提供法律服务的方式</w:t>
      </w:r>
    </w:p>
    <w:p w14:paraId="04961B23">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r>
        <w:rPr>
          <w:rFonts w:hint="eastAsia" w:asciiTheme="minorEastAsia" w:hAnsiTheme="minorEastAsia" w:eastAsiaTheme="minorEastAsia" w:cstheme="minorEastAsia"/>
          <w:bCs/>
          <w:spacing w:val="6"/>
          <w:sz w:val="24"/>
          <w:szCs w:val="24"/>
        </w:rPr>
        <w:t>甲方遇到本合同第一条规定的法律事务需要处理时，及时通知乙方受指派律师办理；乙方律师不固定到甲方办公；</w:t>
      </w:r>
    </w:p>
    <w:p w14:paraId="6327D0C6">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r>
        <w:rPr>
          <w:rFonts w:hint="eastAsia" w:asciiTheme="minorEastAsia" w:hAnsiTheme="minorEastAsia" w:eastAsiaTheme="minorEastAsia" w:cstheme="minorEastAsia"/>
          <w:bCs/>
          <w:spacing w:val="6"/>
          <w:sz w:val="24"/>
          <w:szCs w:val="24"/>
        </w:rPr>
        <w:t>若遇到乙方受指派律师出差或正在办理其他紧急事项的，则乙方可委派其他律师处理。</w:t>
      </w:r>
    </w:p>
    <w:p w14:paraId="703DAE09">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法律顾问费</w:t>
      </w:r>
    </w:p>
    <w:p w14:paraId="13F88105">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结合委托事项的工作量、复杂程度、相关工作的专业性、承办律师的专业能力等因素，甲、乙双方确认：{{</w:t>
      </w:r>
      <w:r>
        <w:rPr>
          <w:rFonts w:hint="eastAsia" w:asciiTheme="minorEastAsia" w:hAnsiTheme="minorEastAsia" w:eastAsiaTheme="minorEastAsia" w:cstheme="minorEastAsia"/>
          <w:sz w:val="24"/>
          <w:szCs w:val="24"/>
          <w:lang w:val="en-US" w:eastAsia="zh-CN"/>
        </w:rPr>
        <w:t>顾问</w:t>
      </w:r>
      <w:r>
        <w:rPr>
          <w:rFonts w:hint="eastAsia" w:asciiTheme="minorEastAsia" w:hAnsiTheme="minorEastAsia" w:eastAsiaTheme="minorEastAsia" w:cstheme="minorEastAsia"/>
          <w:sz w:val="24"/>
          <w:szCs w:val="24"/>
        </w:rPr>
        <w:t>合同收费条款}}。</w:t>
      </w:r>
    </w:p>
    <w:p w14:paraId="1280D897">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color w:val="0000FF"/>
          <w:spacing w:val="6"/>
          <w:sz w:val="24"/>
          <w:szCs w:val="24"/>
        </w:rPr>
      </w:pPr>
      <w:r>
        <w:rPr>
          <w:rFonts w:hint="eastAsia" w:asciiTheme="minorEastAsia" w:hAnsiTheme="minorEastAsia" w:eastAsiaTheme="minorEastAsia" w:cstheme="minorEastAsia"/>
          <w:sz w:val="24"/>
          <w:szCs w:val="24"/>
        </w:rPr>
        <w:t>甲方应依本合同的约定，按时、足额向乙方支付上述法律顾问费；否则乙方不承担本合同项下的法律事务工作；若由此造成甲方损失的，乙方不承担任何责任。</w:t>
      </w:r>
    </w:p>
    <w:p w14:paraId="5757ACE8">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甲方向乙方支付的律师代理费付至以下账户：</w:t>
      </w:r>
    </w:p>
    <w:p w14:paraId="7CB017A4">
      <w:pPr>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收款人名称：北京（广州）律师事务所</w:t>
      </w:r>
    </w:p>
    <w:p w14:paraId="66101524">
      <w:pPr>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收款账号：</w:t>
      </w:r>
    </w:p>
    <w:p w14:paraId="5E0767EF">
      <w:pPr>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收款银行及地址：</w:t>
      </w:r>
    </w:p>
    <w:p w14:paraId="3051ADB2">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甲方付款前，乙方应向甲方提供等额、合法、有效的增值税普通发票，若因乙方未提供发票或提供的发票不符合要求的，顺延支付款项而不承担违约责任，由此造成的损失全由乙方负责。</w:t>
      </w:r>
    </w:p>
    <w:p w14:paraId="6DAE775F">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甲方就第一条第</w:t>
      </w:r>
      <w:r>
        <w:rPr>
          <w:rFonts w:hint="eastAsia" w:asciiTheme="minorEastAsia" w:hAnsiTheme="minorEastAsia" w:eastAsiaTheme="minorEastAsia" w:cstheme="minorEastAsia"/>
          <w:spacing w:val="6"/>
          <w:sz w:val="24"/>
          <w:szCs w:val="24"/>
          <w:lang w:val="en-US" w:eastAsia="zh-CN"/>
        </w:rPr>
        <w:t>6、7、8点</w:t>
      </w:r>
      <w:r>
        <w:rPr>
          <w:rFonts w:hint="eastAsia" w:asciiTheme="minorEastAsia" w:hAnsiTheme="minorEastAsia" w:eastAsiaTheme="minorEastAsia" w:cstheme="minorEastAsia"/>
          <w:spacing w:val="6"/>
          <w:sz w:val="24"/>
          <w:szCs w:val="24"/>
        </w:rPr>
        <w:t>所列的专案代理事务或者专项事务如果委托乙方办理，应</w:t>
      </w:r>
      <w:r>
        <w:rPr>
          <w:rFonts w:hint="eastAsia" w:asciiTheme="minorEastAsia" w:hAnsiTheme="minorEastAsia" w:eastAsiaTheme="minorEastAsia" w:cstheme="minorEastAsia"/>
          <w:sz w:val="24"/>
          <w:szCs w:val="24"/>
        </w:rPr>
        <w:t>向乙方另行支付代理费，由</w:t>
      </w:r>
      <w:r>
        <w:rPr>
          <w:rFonts w:hint="eastAsia" w:asciiTheme="minorEastAsia" w:hAnsiTheme="minorEastAsia" w:eastAsiaTheme="minorEastAsia" w:cstheme="minorEastAsia"/>
          <w:spacing w:val="6"/>
          <w:sz w:val="24"/>
          <w:szCs w:val="24"/>
        </w:rPr>
        <w:t>双方另订委托代理合同，乙方应酌情、优惠收费。</w:t>
      </w:r>
    </w:p>
    <w:p w14:paraId="40F4D18D">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本合同提前解除的，应当由双方书面确认并结清有关费用。</w:t>
      </w:r>
    </w:p>
    <w:p w14:paraId="6E03245C">
      <w:pPr>
        <w:pStyle w:val="5"/>
        <w:keepNext w:val="0"/>
        <w:keepLines w:val="0"/>
        <w:pageBreakBefore w:val="0"/>
        <w:numPr>
          <w:ilvl w:val="0"/>
          <w:numId w:val="1"/>
        </w:numPr>
        <w:kinsoku/>
        <w:wordWrap/>
        <w:overflowPunct/>
        <w:topLinePunct w:val="0"/>
        <w:autoSpaceDE/>
        <w:autoSpaceDN/>
        <w:bidi w:val="0"/>
        <w:adjustRightInd w:val="0"/>
        <w:snapToGrid w:val="0"/>
        <w:spacing w:after="0"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工作费用</w:t>
      </w:r>
    </w:p>
    <w:p w14:paraId="09A0C655">
      <w:pPr>
        <w:pStyle w:val="5"/>
        <w:keepNext w:val="0"/>
        <w:keepLines w:val="0"/>
        <w:pageBreakBefore w:val="0"/>
        <w:numPr>
          <w:ilvl w:val="1"/>
          <w:numId w:val="1"/>
        </w:numPr>
        <w:kinsoku/>
        <w:wordWrap/>
        <w:overflowPunct/>
        <w:topLinePunct w:val="0"/>
        <w:autoSpaceDE/>
        <w:autoSpaceDN/>
        <w:bidi w:val="0"/>
        <w:adjustRightInd w:val="0"/>
        <w:snapToGrid w:val="0"/>
        <w:spacing w:after="0"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乙方律师办理甲方委托事项所发生的下列工作费用，应由甲方承担：</w:t>
      </w:r>
    </w:p>
    <w:p w14:paraId="6007BBDA">
      <w:pPr>
        <w:pStyle w:val="5"/>
        <w:keepNext w:val="0"/>
        <w:keepLines w:val="0"/>
        <w:pageBreakBefore w:val="0"/>
        <w:numPr>
          <w:ilvl w:val="2"/>
          <w:numId w:val="1"/>
        </w:numPr>
        <w:kinsoku/>
        <w:wordWrap/>
        <w:overflowPunct/>
        <w:topLinePunct w:val="0"/>
        <w:autoSpaceDE/>
        <w:autoSpaceDN/>
        <w:bidi w:val="0"/>
        <w:adjustRightInd w:val="0"/>
        <w:snapToGrid w:val="0"/>
        <w:spacing w:after="0" w:line="360" w:lineRule="auto"/>
        <w:ind w:left="0" w:leftChars="0" w:right="0" w:firstLine="402"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相关行政、司法、鉴定、审计、公证等部门收取的费用；</w:t>
      </w:r>
    </w:p>
    <w:p w14:paraId="11E75055">
      <w:pPr>
        <w:pStyle w:val="5"/>
        <w:keepNext w:val="0"/>
        <w:keepLines w:val="0"/>
        <w:pageBreakBefore w:val="0"/>
        <w:numPr>
          <w:ilvl w:val="2"/>
          <w:numId w:val="1"/>
        </w:numPr>
        <w:kinsoku/>
        <w:wordWrap/>
        <w:overflowPunct/>
        <w:topLinePunct w:val="0"/>
        <w:autoSpaceDE/>
        <w:autoSpaceDN/>
        <w:bidi w:val="0"/>
        <w:adjustRightInd w:val="0"/>
        <w:snapToGrid w:val="0"/>
        <w:spacing w:after="0" w:line="360" w:lineRule="auto"/>
        <w:ind w:left="0" w:leftChars="0" w:right="0" w:firstLine="402" w:firstLineChars="0"/>
        <w:textAlignment w:val="auto"/>
        <w:rPr>
          <w:rFonts w:hint="eastAsia" w:asciiTheme="minorEastAsia" w:hAnsiTheme="minorEastAsia" w:eastAsiaTheme="minorEastAsia" w:cstheme="minorEastAsia"/>
          <w:sz w:val="24"/>
          <w:szCs w:val="24"/>
        </w:rPr>
      </w:pPr>
      <w:bookmarkStart w:id="6" w:name="_GoBack"/>
      <w:bookmarkEnd w:id="6"/>
      <w:r>
        <w:rPr>
          <w:rFonts w:hint="eastAsia" w:asciiTheme="minorEastAsia" w:hAnsiTheme="minorEastAsia" w:eastAsiaTheme="minorEastAsia" w:cstheme="minorEastAsia"/>
          <w:sz w:val="24"/>
          <w:szCs w:val="24"/>
          <w:lang w:val="en-US" w:eastAsia="zh-CN"/>
        </w:rPr>
        <w:t>市以外地区</w:t>
      </w:r>
      <w:r>
        <w:rPr>
          <w:rFonts w:hint="eastAsia" w:asciiTheme="minorEastAsia" w:hAnsiTheme="minorEastAsia" w:eastAsiaTheme="minorEastAsia" w:cstheme="minorEastAsia"/>
          <w:sz w:val="24"/>
          <w:szCs w:val="24"/>
        </w:rPr>
        <w:t>（包括远郊区县）发生的交通费、食宿费及通讯费、翻译费等；</w:t>
      </w:r>
    </w:p>
    <w:p w14:paraId="77296C2C">
      <w:pPr>
        <w:pStyle w:val="5"/>
        <w:keepNext w:val="0"/>
        <w:keepLines w:val="0"/>
        <w:pageBreakBefore w:val="0"/>
        <w:numPr>
          <w:ilvl w:val="2"/>
          <w:numId w:val="1"/>
        </w:numPr>
        <w:kinsoku/>
        <w:wordWrap/>
        <w:overflowPunct/>
        <w:topLinePunct w:val="0"/>
        <w:autoSpaceDE/>
        <w:autoSpaceDN/>
        <w:bidi w:val="0"/>
        <w:adjustRightInd w:val="0"/>
        <w:snapToGrid w:val="0"/>
        <w:spacing w:after="0" w:line="360" w:lineRule="auto"/>
        <w:ind w:left="0" w:leftChars="0" w:right="0" w:firstLine="402"/>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征得甲方同意后支出的其它费用。</w:t>
      </w:r>
    </w:p>
    <w:p w14:paraId="7A9BA6B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甲方按照乙方律师预支、事后实报实销方式报销上述工作费用。</w:t>
      </w:r>
    </w:p>
    <w:p w14:paraId="342B8763">
      <w:pPr>
        <w:keepNext w:val="0"/>
        <w:keepLines w:val="0"/>
        <w:pageBreakBefore w:val="0"/>
        <w:numPr>
          <w:ilvl w:val="0"/>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合同的解除及违约责任</w:t>
      </w:r>
    </w:p>
    <w:p w14:paraId="4F926833">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乙方无正当理由不提供本合同第一条约定的服务，甲方有权要求乙方退还部分或全部已付的法律顾问费，并解除合同；</w:t>
      </w:r>
    </w:p>
    <w:p w14:paraId="28718FF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乙方律师因严重失职导致甲方遭受重大损失的，乙方应当通过其所投保的执业保险向甲方承担赔偿责任，乙方及乙方律师的赔偿责任以执业保险赔付额为限。但因甲方、其他中介机构或者主管部门等任何非乙方原因造成乙方律师工作延误或失误的，乙方不承担任何责任；</w:t>
      </w:r>
    </w:p>
    <w:p w14:paraId="53029A58">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有捏造事实、伪造证据或者隐瞒重要情节等情形的，致使乙方律师不能提供有效的法律服务的，或甲方的委托事项违反法律或律师执业规范的，或甲方逾期15日仍不向乙方支付法律顾问费或者工作费用的，乙方可以拒绝提供服务，并解除合同；</w:t>
      </w:r>
    </w:p>
    <w:p w14:paraId="583BE01F">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甲方无正当理由不支付法律顾问费或者工作费用，或者无故终止合同，乙方有权要求甲方支付未付的法律顾问费、未报销的工作费用以及延期支付的利息，并解除合同；</w:t>
      </w:r>
    </w:p>
    <w:p w14:paraId="7223F15A">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向乙方提供的资料有虚假、误导、隐瞒、重大遗漏及其他违规行为，导致乙方律师出具的法律文件出现错误或者遗漏，并导致乙方或者乙方律师受到处罚或者第三人向乙方追偿的，甲方应当向乙方承担全部赔偿责任。</w:t>
      </w:r>
    </w:p>
    <w:p w14:paraId="464D938F">
      <w:pPr>
        <w:keepNext w:val="0"/>
        <w:keepLines w:val="0"/>
        <w:pageBreakBefore w:val="0"/>
        <w:numPr>
          <w:ilvl w:val="0"/>
          <w:numId w:val="1"/>
        </w:numPr>
        <w:tabs>
          <w:tab w:val="left" w:pos="426"/>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合同期限</w:t>
      </w:r>
    </w:p>
    <w:p w14:paraId="6B9AA7CD">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z w:val="24"/>
          <w:szCs w:val="24"/>
        </w:rPr>
      </w:pPr>
      <w:r>
        <w:rPr>
          <w:rFonts w:hint="eastAsia" w:asciiTheme="minorEastAsia" w:hAnsiTheme="minorEastAsia" w:eastAsiaTheme="minorEastAsia" w:cstheme="minorEastAsia"/>
          <w:bCs/>
          <w:sz w:val="24"/>
          <w:szCs w:val="24"/>
        </w:rPr>
        <w:t>本合同期限自</w:t>
      </w:r>
      <w:r>
        <w:rPr>
          <w:rFonts w:hint="eastAsia" w:asciiTheme="minorEastAsia" w:hAnsiTheme="minorEastAsia" w:eastAsiaTheme="minorEastAsia" w:cstheme="minorEastAsia"/>
          <w:bCs/>
          <w:sz w:val="24"/>
          <w:szCs w:val="24"/>
          <w:u w:val="single"/>
          <w:lang w:val="en-US" w:eastAsia="zh-CN"/>
        </w:rPr>
        <w:t>{{开始日期}}</w:t>
      </w:r>
      <w:r>
        <w:rPr>
          <w:rFonts w:hint="eastAsia" w:asciiTheme="minorEastAsia" w:hAnsiTheme="minorEastAsia" w:eastAsiaTheme="minorEastAsia" w:cstheme="minorEastAsia"/>
          <w:bCs/>
          <w:sz w:val="24"/>
          <w:szCs w:val="24"/>
        </w:rPr>
        <w:t>至</w:t>
      </w:r>
      <w:r>
        <w:rPr>
          <w:rFonts w:hint="eastAsia" w:asciiTheme="minorEastAsia" w:hAnsiTheme="minorEastAsia" w:eastAsiaTheme="minorEastAsia" w:cstheme="minorEastAsia"/>
          <w:bCs/>
          <w:sz w:val="24"/>
          <w:szCs w:val="24"/>
          <w:u w:val="single"/>
        </w:rPr>
        <w:t>{{</w:t>
      </w:r>
      <w:r>
        <w:rPr>
          <w:rFonts w:hint="eastAsia" w:asciiTheme="minorEastAsia" w:hAnsiTheme="minorEastAsia" w:eastAsiaTheme="minorEastAsia" w:cstheme="minorEastAsia"/>
          <w:bCs/>
          <w:sz w:val="24"/>
          <w:szCs w:val="24"/>
          <w:u w:val="single"/>
          <w:lang w:val="en-US" w:eastAsia="zh-CN"/>
        </w:rPr>
        <w:t>结束</w:t>
      </w:r>
      <w:r>
        <w:rPr>
          <w:rFonts w:hint="eastAsia" w:asciiTheme="minorEastAsia" w:hAnsiTheme="minorEastAsia" w:eastAsiaTheme="minorEastAsia" w:cstheme="minorEastAsia"/>
          <w:bCs/>
          <w:sz w:val="24"/>
          <w:szCs w:val="24"/>
          <w:u w:val="single"/>
        </w:rPr>
        <w:t>日期}}</w:t>
      </w:r>
      <w:r>
        <w:rPr>
          <w:rFonts w:hint="eastAsia" w:asciiTheme="minorEastAsia" w:hAnsiTheme="minorEastAsia" w:eastAsiaTheme="minorEastAsia" w:cstheme="minorEastAsia"/>
          <w:bCs/>
          <w:sz w:val="24"/>
          <w:szCs w:val="24"/>
        </w:rPr>
        <w:t>止。本合同期满后，甲方若欲再续聘乙方律师为顾问，双方可续签本合同，确定双方的权利义务。</w:t>
      </w:r>
    </w:p>
    <w:p w14:paraId="00BDFF56">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争议的解决</w:t>
      </w:r>
    </w:p>
    <w:p w14:paraId="3AE338EB">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本合同适用《中华人民共和国律师法》、《中华人民共和国仲裁法》等法律。</w:t>
      </w:r>
    </w:p>
    <w:p w14:paraId="503C1F8D">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甲乙双方如果发生争议，应当友好协商解决。如协商不成，任何一方均有权将争议提交广州仲裁委员会，按照提交仲裁时该会现行有效的仲裁规则进行仲裁，仲裁裁决是终局的，对甲乙双方均有约束力。</w:t>
      </w:r>
    </w:p>
    <w:p w14:paraId="7515B6EF">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r>
        <w:rPr>
          <w:rFonts w:hint="eastAsia" w:asciiTheme="minorEastAsia" w:hAnsiTheme="minorEastAsia" w:eastAsiaTheme="minorEastAsia" w:cstheme="minorEastAsia"/>
          <w:b/>
          <w:spacing w:val="6"/>
          <w:sz w:val="24"/>
          <w:szCs w:val="24"/>
        </w:rPr>
        <w:t>通知和送达</w:t>
      </w:r>
    </w:p>
    <w:p w14:paraId="4BF66B07">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bookmarkStart w:id="2" w:name="_Hlk66121435"/>
      <w:r>
        <w:rPr>
          <w:rFonts w:hint="eastAsia" w:asciiTheme="minorEastAsia" w:hAnsiTheme="minorEastAsia" w:eastAsiaTheme="minorEastAsia" w:cstheme="minorEastAsia"/>
          <w:bCs/>
          <w:spacing w:val="6"/>
          <w:sz w:val="24"/>
          <w:szCs w:val="24"/>
        </w:rPr>
        <w:t>甲乙双方因履行本合同而相互发出或者提供的所有通知、文件、资料，均以本合同所列明的地址、电子邮箱、电话送达，一方如果迁址或者变更电话、电子邮箱的，应当书面通知对方。</w:t>
      </w:r>
    </w:p>
    <w:p w14:paraId="63DA1EFE">
      <w:pPr>
        <w:keepNext w:val="0"/>
        <w:keepLines w:val="0"/>
        <w:pageBreakBefore w:val="0"/>
        <w:numPr>
          <w:ilvl w:val="1"/>
          <w:numId w:val="1"/>
        </w:numPr>
        <w:tabs>
          <w:tab w:val="left" w:pos="0"/>
        </w:tabs>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bCs/>
          <w:spacing w:val="6"/>
          <w:sz w:val="24"/>
          <w:szCs w:val="24"/>
        </w:rPr>
      </w:pPr>
      <w:r>
        <w:rPr>
          <w:rFonts w:hint="eastAsia" w:asciiTheme="minorEastAsia" w:hAnsiTheme="minorEastAsia" w:eastAsiaTheme="minorEastAsia" w:cstheme="minorEastAsia"/>
          <w:bCs/>
          <w:spacing w:val="6"/>
          <w:sz w:val="24"/>
          <w:szCs w:val="24"/>
        </w:rPr>
        <w:t>以当面交付文件方式送达的，交付之时视为送达；以电子邮件方式送达的，发出电子邮件时视为送达；以邮寄方式送达的，邮件交邮当日视为送达。</w:t>
      </w:r>
    </w:p>
    <w:bookmarkEnd w:id="2"/>
    <w:p w14:paraId="76DC5D65">
      <w:pPr>
        <w:keepNext w:val="0"/>
        <w:keepLines w:val="0"/>
        <w:pageBreakBefore w:val="0"/>
        <w:numPr>
          <w:ilvl w:val="0"/>
          <w:numId w:val="1"/>
        </w:numPr>
        <w:tabs>
          <w:tab w:val="left" w:pos="0"/>
        </w:tabs>
        <w:kinsoku/>
        <w:wordWrap/>
        <w:overflowPunct/>
        <w:topLinePunct w:val="0"/>
        <w:autoSpaceDE/>
        <w:autoSpaceDN/>
        <w:bidi w:val="0"/>
        <w:adjustRightInd w:val="0"/>
        <w:snapToGrid w:val="0"/>
        <w:spacing w:line="360" w:lineRule="auto"/>
        <w:ind w:left="0" w:leftChars="0" w:right="0" w:firstLine="400"/>
        <w:textAlignment w:val="auto"/>
        <w:rPr>
          <w:rFonts w:hint="eastAsia" w:asciiTheme="minorEastAsia" w:hAnsiTheme="minorEastAsia" w:eastAsiaTheme="minorEastAsia" w:cstheme="minorEastAsia"/>
          <w:b/>
          <w:spacing w:val="6"/>
          <w:sz w:val="24"/>
          <w:szCs w:val="24"/>
        </w:rPr>
      </w:pPr>
      <w:bookmarkStart w:id="3" w:name="_Hlk66121469"/>
      <w:r>
        <w:rPr>
          <w:rFonts w:hint="eastAsia" w:asciiTheme="minorEastAsia" w:hAnsiTheme="minorEastAsia" w:eastAsiaTheme="minorEastAsia" w:cstheme="minorEastAsia"/>
          <w:b/>
          <w:spacing w:val="6"/>
          <w:sz w:val="24"/>
          <w:szCs w:val="24"/>
        </w:rPr>
        <w:t>其他事项</w:t>
      </w:r>
    </w:p>
    <w:p w14:paraId="1D72ED18">
      <w:pPr>
        <w:pStyle w:val="18"/>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甲、乙双方在本合同签署之前已就本合同涉及的委托事项进行了详细的研究。乙方在签订本合同之前已经向甲方解释了收费规定及标准；</w:t>
      </w:r>
    </w:p>
    <w:p w14:paraId="15A1D7C4">
      <w:pPr>
        <w:pStyle w:val="18"/>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若本合同乙方现指派律师因转律师事务所执业等原因而工作变动的，则甲方</w:t>
      </w:r>
      <w:r>
        <w:rPr>
          <w:rFonts w:hint="eastAsia" w:asciiTheme="minorEastAsia" w:hAnsiTheme="minorEastAsia" w:eastAsiaTheme="minorEastAsia" w:cstheme="minorEastAsia"/>
          <w:b/>
          <w:spacing w:val="6"/>
          <w:sz w:val="24"/>
          <w:szCs w:val="24"/>
        </w:rPr>
        <w:t>同意</w:t>
      </w:r>
      <w:r>
        <w:rPr>
          <w:rFonts w:hint="eastAsia" w:asciiTheme="minorEastAsia" w:hAnsiTheme="minorEastAsia" w:eastAsiaTheme="minorEastAsia" w:cstheme="minorEastAsia"/>
          <w:spacing w:val="6"/>
          <w:sz w:val="24"/>
          <w:szCs w:val="24"/>
        </w:rPr>
        <w:t>：自乙方现指派律师转入新律师事务所执业之日起，甲方与乙方之间的委托服务关系终止，甲、乙双方就原委托服务合同书之权利义务[包括有关服务工作及律师费的支付等]转由甲方与现指派律师转入的新律师事务所</w:t>
      </w:r>
      <w:r>
        <w:rPr>
          <w:rFonts w:hint="eastAsia" w:asciiTheme="minorEastAsia" w:hAnsiTheme="minorEastAsia" w:eastAsiaTheme="minorEastAsia" w:cstheme="minorEastAsia"/>
          <w:b/>
          <w:spacing w:val="6"/>
          <w:sz w:val="24"/>
          <w:szCs w:val="24"/>
        </w:rPr>
        <w:t>承继</w:t>
      </w:r>
      <w:r>
        <w:rPr>
          <w:rFonts w:hint="eastAsia" w:asciiTheme="minorEastAsia" w:hAnsiTheme="minorEastAsia" w:eastAsiaTheme="minorEastAsia" w:cstheme="minorEastAsia"/>
          <w:spacing w:val="6"/>
          <w:sz w:val="24"/>
          <w:szCs w:val="24"/>
        </w:rPr>
        <w:t>，上述服务也转由新律师事务所指派现指派律师继续提供，至上述应提供之服务事项完成时止；</w:t>
      </w:r>
    </w:p>
    <w:p w14:paraId="5E5CC5D5">
      <w:pPr>
        <w:pStyle w:val="18"/>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bookmarkStart w:id="4" w:name="_Hlk66122505"/>
      <w:r>
        <w:rPr>
          <w:rFonts w:hint="eastAsia" w:asciiTheme="minorEastAsia" w:hAnsiTheme="minorEastAsia" w:eastAsiaTheme="minorEastAsia" w:cstheme="minorEastAsia"/>
          <w:b/>
          <w:spacing w:val="6"/>
          <w:sz w:val="24"/>
          <w:szCs w:val="24"/>
        </w:rPr>
        <w:t>特别提醒</w:t>
      </w:r>
      <w:r>
        <w:rPr>
          <w:rFonts w:hint="eastAsia" w:asciiTheme="minorEastAsia" w:hAnsiTheme="minorEastAsia" w:eastAsiaTheme="minorEastAsia" w:cstheme="minorEastAsia"/>
          <w:spacing w:val="6"/>
          <w:sz w:val="24"/>
          <w:szCs w:val="24"/>
        </w:rPr>
        <w:t>：甲方充分知晓</w:t>
      </w:r>
      <w:bookmarkStart w:id="5" w:name="_Hlk66122053"/>
      <w:r>
        <w:rPr>
          <w:rFonts w:hint="eastAsia" w:asciiTheme="minorEastAsia" w:hAnsiTheme="minorEastAsia" w:eastAsiaTheme="minorEastAsia" w:cstheme="minorEastAsia"/>
          <w:spacing w:val="6"/>
          <w:sz w:val="24"/>
          <w:szCs w:val="24"/>
        </w:rPr>
        <w:t>律师事务所</w:t>
      </w:r>
      <w:bookmarkEnd w:id="5"/>
      <w:r>
        <w:rPr>
          <w:rFonts w:hint="eastAsia" w:asciiTheme="minorEastAsia" w:hAnsiTheme="minorEastAsia" w:eastAsiaTheme="minorEastAsia" w:cstheme="minorEastAsia"/>
          <w:spacing w:val="6"/>
          <w:sz w:val="24"/>
          <w:szCs w:val="24"/>
        </w:rPr>
        <w:t>是大型律师事务所，乙方为律师事务所的分所之一。为避免本代理合同项下委托事项给律师事务所其他律师（含律师事务所总部及各分所律师，下同）造成执业不便，甲方在此确认：理解并认可律师事务所律师可以接受甲方对方当事人其他事项的委托（若今后有此类委托发生）。但，甲乙双方特别约定：</w:t>
      </w:r>
    </w:p>
    <w:p w14:paraId="3900462F">
      <w:pPr>
        <w:pStyle w:val="18"/>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对方当事人若有后续其他事项需委托律师事务所代理的，该事项须是与本委托事项无关的、独立于本代理合同委托事项之外的事项；</w:t>
      </w:r>
    </w:p>
    <w:p w14:paraId="3F022107">
      <w:pPr>
        <w:pStyle w:val="18"/>
        <w:keepNext w:val="0"/>
        <w:keepLines w:val="0"/>
        <w:pageBreakBefore w:val="0"/>
        <w:numPr>
          <w:ilvl w:val="2"/>
          <w:numId w:val="1"/>
        </w:numPr>
        <w:kinsoku/>
        <w:wordWrap/>
        <w:overflowPunct/>
        <w:topLinePunct w:val="0"/>
        <w:autoSpaceDE/>
        <w:autoSpaceDN/>
        <w:bidi w:val="0"/>
        <w:adjustRightInd w:val="0"/>
        <w:snapToGrid w:val="0"/>
        <w:spacing w:line="360" w:lineRule="auto"/>
        <w:ind w:left="0" w:leftChars="0" w:right="0" w:firstLine="402"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乙方需对因本合同委托事项而获悉的甲方的相关秘密信息承担保密义务，保障上述秘密信息不用于本合同以外之目的。在本合同约定委托业务终结或者委托关系终止后十二个月以内，乙方指派的律师不可作为乙方指派给对方当事人后续可能发生的其他事务的承办律师。</w:t>
      </w:r>
    </w:p>
    <w:bookmarkEnd w:id="4"/>
    <w:p w14:paraId="51FC84D8">
      <w:pPr>
        <w:keepNext w:val="0"/>
        <w:keepLines w:val="0"/>
        <w:pageBreakBefore w:val="0"/>
        <w:numPr>
          <w:ilvl w:val="1"/>
          <w:numId w:val="1"/>
        </w:numPr>
        <w:kinsoku/>
        <w:wordWrap/>
        <w:overflowPunct/>
        <w:topLinePunct w:val="0"/>
        <w:autoSpaceDE/>
        <w:autoSpaceDN/>
        <w:bidi w:val="0"/>
        <w:adjustRightInd w:val="0"/>
        <w:snapToGrid w:val="0"/>
        <w:spacing w:line="360" w:lineRule="auto"/>
        <w:ind w:left="0" w:leftChars="0" w:right="0" w:firstLine="400" w:firstLineChars="0"/>
        <w:textAlignment w:val="auto"/>
        <w:rPr>
          <w:rFonts w:hint="eastAsia" w:asciiTheme="minorEastAsia" w:hAnsiTheme="minorEastAsia" w:eastAsiaTheme="minorEastAsia" w:cstheme="minorEastAsia"/>
          <w:spacing w:val="6"/>
          <w:sz w:val="24"/>
          <w:szCs w:val="24"/>
        </w:rPr>
      </w:pPr>
      <w:r>
        <w:rPr>
          <w:rFonts w:hint="eastAsia" w:asciiTheme="minorEastAsia" w:hAnsiTheme="minorEastAsia" w:eastAsiaTheme="minorEastAsia" w:cstheme="minorEastAsia"/>
          <w:spacing w:val="6"/>
          <w:sz w:val="24"/>
          <w:szCs w:val="24"/>
        </w:rPr>
        <w:t>本合同正本一式{{合同份数}}份，甲方持{{委托人数量}}份，乙方及乙方律师共持2份，每份具有同等法律效力。</w:t>
      </w:r>
    </w:p>
    <w:p w14:paraId="522847D8">
      <w:pPr>
        <w:pStyle w:val="18"/>
        <w:keepNext w:val="0"/>
        <w:keepLines w:val="0"/>
        <w:pageBreakBefore w:val="0"/>
        <w:kinsoku/>
        <w:wordWrap/>
        <w:overflowPunct/>
        <w:topLinePunct w:val="0"/>
        <w:autoSpaceDE/>
        <w:autoSpaceDN/>
        <w:bidi w:val="0"/>
        <w:adjustRightInd w:val="0"/>
        <w:snapToGrid w:val="0"/>
        <w:spacing w:line="360" w:lineRule="auto"/>
        <w:ind w:left="0" w:leftChars="0" w:right="0" w:firstLine="506"/>
        <w:textAlignment w:val="auto"/>
        <w:rPr>
          <w:b/>
          <w:bCs/>
          <w:sz w:val="24"/>
        </w:rPr>
      </w:pPr>
      <w:r>
        <w:rPr>
          <w:rFonts w:hint="eastAsia"/>
          <w:b/>
          <w:bCs/>
          <w:spacing w:val="6"/>
          <w:sz w:val="24"/>
        </w:rPr>
        <w:t>（以下无正文）</w:t>
      </w:r>
      <w:bookmarkEnd w:id="3"/>
    </w:p>
    <w:p w14:paraId="45556EFE">
      <w:pPr>
        <w:keepNext w:val="0"/>
        <w:keepLines w:val="0"/>
        <w:pageBreakBefore w:val="0"/>
        <w:kinsoku/>
        <w:wordWrap/>
        <w:overflowPunct/>
        <w:topLinePunct w:val="0"/>
        <w:autoSpaceDE/>
        <w:autoSpaceDN/>
        <w:bidi w:val="0"/>
        <w:adjustRightInd w:val="0"/>
        <w:snapToGrid w:val="0"/>
        <w:spacing w:line="360" w:lineRule="auto"/>
        <w:ind w:left="0" w:leftChars="0" w:right="0"/>
        <w:textAlignment w:val="auto"/>
        <w:rPr>
          <w:rFonts w:hint="eastAsia"/>
          <w:b/>
          <w:sz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7"/>
        <w:gridCol w:w="4927"/>
      </w:tblGrid>
      <w:tr w14:paraId="4CDF15C6">
        <w:tc>
          <w:tcPr>
            <w:tcW w:w="4927" w:type="dxa"/>
            <w:tcBorders>
              <w:top w:val="nil"/>
              <w:left w:val="nil"/>
              <w:bottom w:val="nil"/>
              <w:right w:val="single" w:color="auto" w:sz="4" w:space="0"/>
            </w:tcBorders>
          </w:tcPr>
          <w:p w14:paraId="7A8E2520">
            <w:pPr>
              <w:keepNext w:val="0"/>
              <w:keepLines w:val="0"/>
              <w:pageBreakBefore w:val="0"/>
              <w:kinsoku/>
              <w:wordWrap/>
              <w:overflowPunct/>
              <w:topLinePunct w:val="0"/>
              <w:autoSpaceDE/>
              <w:autoSpaceDN/>
              <w:bidi w:val="0"/>
              <w:spacing w:line="360" w:lineRule="auto"/>
              <w:rPr>
                <w:rFonts w:hint="default" w:ascii="宋体" w:hAnsi="宋体" w:eastAsia="宋体" w:cs="宋体"/>
                <w:sz w:val="24"/>
                <w:vertAlign w:val="baseline"/>
                <w:lang w:val="en-US" w:eastAsia="zh-CN"/>
              </w:rPr>
            </w:pPr>
            <w:r>
              <w:rPr>
                <w:rFonts w:hint="eastAsia" w:ascii="宋体" w:hAnsi="宋体" w:cs="宋体"/>
                <w:sz w:val="24"/>
                <w:vertAlign w:val="baseline"/>
                <w:lang w:val="en-US" w:eastAsia="zh-CN"/>
              </w:rPr>
              <w:t>{{委托人签名盖章信息}}</w:t>
            </w:r>
          </w:p>
        </w:tc>
        <w:tc>
          <w:tcPr>
            <w:tcW w:w="4927" w:type="dxa"/>
            <w:tcBorders>
              <w:top w:val="nil"/>
              <w:left w:val="single" w:color="auto" w:sz="4" w:space="0"/>
              <w:bottom w:val="nil"/>
              <w:right w:val="nil"/>
            </w:tcBorders>
          </w:tcPr>
          <w:p w14:paraId="3C53F26C">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乙方</w:t>
            </w:r>
            <w:r>
              <w:rPr>
                <w:rFonts w:hint="eastAsia" w:ascii="宋体" w:hAnsi="宋体" w:cs="宋体"/>
                <w:sz w:val="24"/>
                <w:vertAlign w:val="baseline"/>
                <w:lang w:eastAsia="zh-CN"/>
              </w:rPr>
              <w:t>（</w:t>
            </w:r>
            <w:r>
              <w:rPr>
                <w:rFonts w:hint="eastAsia" w:ascii="宋体" w:hAnsi="宋体" w:cs="宋体"/>
                <w:sz w:val="24"/>
                <w:vertAlign w:val="baseline"/>
                <w:lang w:val="en-US" w:eastAsia="zh-CN"/>
              </w:rPr>
              <w:t>盖章</w:t>
            </w:r>
            <w:r>
              <w:rPr>
                <w:rFonts w:hint="eastAsia" w:ascii="宋体" w:hAnsi="宋体" w:cs="宋体"/>
                <w:sz w:val="24"/>
                <w:vertAlign w:val="baseline"/>
                <w:lang w:eastAsia="zh-CN"/>
              </w:rPr>
              <w:t>）</w:t>
            </w:r>
            <w:r>
              <w:rPr>
                <w:rFonts w:hint="eastAsia" w:ascii="宋体" w:hAnsi="宋体" w:eastAsia="宋体" w:cs="宋体"/>
                <w:sz w:val="24"/>
                <w:vertAlign w:val="baseline"/>
              </w:rPr>
              <w:t>：北京（广州）律师事务所</w:t>
            </w:r>
          </w:p>
          <w:p w14:paraId="0CD9D403">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代表：</w:t>
            </w:r>
          </w:p>
          <w:p w14:paraId="5A52C71C">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 xml:space="preserve"> {{指定日期}}</w:t>
            </w:r>
          </w:p>
        </w:tc>
      </w:tr>
    </w:tbl>
    <w:p w14:paraId="42AD09A0">
      <w:pPr>
        <w:keepNext w:val="0"/>
        <w:keepLines w:val="0"/>
        <w:pageBreakBefore w:val="0"/>
        <w:widowControl/>
        <w:shd w:val="clear"/>
        <w:kinsoku/>
        <w:wordWrap/>
        <w:overflowPunct/>
        <w:topLinePunct w:val="0"/>
        <w:autoSpaceDE/>
        <w:autoSpaceDN/>
        <w:bidi w:val="0"/>
        <w:adjustRightInd/>
        <w:snapToGrid/>
        <w:spacing w:line="240" w:lineRule="auto"/>
        <w:ind w:left="0" w:leftChars="0" w:right="0"/>
        <w:jc w:val="left"/>
        <w:rPr>
          <w:rFonts w:ascii="宋体" w:hAnsi="宋体" w:eastAsia="宋体" w:cs="宋体"/>
          <w:b/>
          <w:bCs/>
          <w:color w:val="494949"/>
          <w:kern w:val="0"/>
          <w:sz w:val="36"/>
          <w:szCs w:val="36"/>
        </w:rPr>
      </w:pPr>
      <w:r>
        <w:rPr>
          <w:rFonts w:ascii="宋体" w:hAnsi="宋体" w:eastAsia="宋体" w:cs="宋体"/>
          <w:b/>
          <w:bCs/>
          <w:color w:val="494949"/>
          <w:kern w:val="0"/>
          <w:sz w:val="36"/>
          <w:szCs w:val="36"/>
        </w:rPr>
        <w:br w:type="page"/>
      </w:r>
    </w:p>
    <w:p w14:paraId="1E552EA0">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center"/>
        <w:rPr>
          <w:rFonts w:ascii="宋体" w:hAnsi="宋体" w:eastAsia="宋体" w:cs="宋体"/>
          <w:b/>
          <w:bCs/>
          <w:color w:val="494949"/>
          <w:kern w:val="0"/>
          <w:sz w:val="36"/>
          <w:szCs w:val="36"/>
        </w:rPr>
      </w:pPr>
      <w:r>
        <w:rPr>
          <w:rFonts w:ascii="宋体" w:hAnsi="宋体" w:eastAsia="宋体" w:cs="宋体"/>
          <w:b/>
          <w:bCs/>
          <w:color w:val="494949"/>
          <w:kern w:val="0"/>
          <w:sz w:val="36"/>
          <w:szCs w:val="36"/>
        </w:rPr>
        <w:t>律师办案</w:t>
      </w:r>
      <w:r>
        <w:rPr>
          <w:rFonts w:hint="eastAsia" w:ascii="宋体" w:hAnsi="宋体" w:eastAsia="宋体" w:cs="宋体"/>
          <w:b/>
          <w:color w:val="494949"/>
          <w:kern w:val="0"/>
          <w:sz w:val="36"/>
          <w:szCs w:val="36"/>
        </w:rPr>
        <w:t>服务</w:t>
      </w:r>
      <w:r>
        <w:rPr>
          <w:rFonts w:ascii="宋体" w:hAnsi="宋体" w:eastAsia="宋体" w:cs="宋体"/>
          <w:b/>
          <w:bCs/>
          <w:color w:val="494949"/>
          <w:kern w:val="0"/>
          <w:sz w:val="36"/>
          <w:szCs w:val="36"/>
        </w:rPr>
        <w:t>质量监督卡</w:t>
      </w:r>
    </w:p>
    <w:tbl>
      <w:tblPr>
        <w:tblStyle w:val="1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4075"/>
        <w:gridCol w:w="1566"/>
        <w:gridCol w:w="2389"/>
      </w:tblGrid>
      <w:tr w14:paraId="129FF1EE">
        <w:trPr>
          <w:trHeight w:val="567" w:hRule="atLeast"/>
        </w:trPr>
        <w:tc>
          <w:tcPr>
            <w:tcW w:w="922" w:type="pct"/>
            <w:vAlign w:val="center"/>
          </w:tcPr>
          <w:p w14:paraId="4925672C">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律师事务所名称</w:t>
            </w:r>
          </w:p>
        </w:tc>
        <w:tc>
          <w:tcPr>
            <w:tcW w:w="4077" w:type="pct"/>
            <w:gridSpan w:val="3"/>
            <w:vAlign w:val="center"/>
          </w:tcPr>
          <w:p w14:paraId="40718D97">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default" w:ascii="宋体" w:hAnsi="宋体" w:eastAsia="宋体" w:cs="宋体"/>
                <w:bCs/>
                <w:color w:val="494949"/>
                <w:kern w:val="0"/>
                <w:szCs w:val="21"/>
                <w:lang w:val="en-US" w:eastAsia="zh-CN"/>
              </w:rPr>
            </w:pPr>
            <w:r>
              <w:rPr>
                <w:rFonts w:hint="eastAsia" w:ascii="宋体" w:hAnsi="宋体" w:eastAsia="宋体" w:cs="宋体"/>
                <w:bCs/>
                <w:color w:val="494949"/>
                <w:kern w:val="0"/>
                <w:szCs w:val="21"/>
                <w:lang w:val="en-US" w:eastAsia="zh-CN"/>
              </w:rPr>
              <w:t>北京（广州）律师事务所</w:t>
            </w:r>
          </w:p>
        </w:tc>
      </w:tr>
      <w:tr w14:paraId="0E9CA340">
        <w:trPr>
          <w:trHeight w:val="561" w:hRule="atLeast"/>
        </w:trPr>
        <w:tc>
          <w:tcPr>
            <w:tcW w:w="922" w:type="pct"/>
            <w:vAlign w:val="center"/>
          </w:tcPr>
          <w:p w14:paraId="723B0686">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合同案号</w:t>
            </w:r>
          </w:p>
        </w:tc>
        <w:tc>
          <w:tcPr>
            <w:tcW w:w="2069" w:type="pct"/>
            <w:vAlign w:val="center"/>
          </w:tcPr>
          <w:p w14:paraId="72F2179D">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default"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广</w:t>
            </w:r>
            <w:r>
              <w:rPr>
                <w:rFonts w:hint="eastAsia" w:ascii="宋体" w:hAnsi="宋体" w:eastAsia="宋体" w:cs="宋体"/>
                <w:bCs/>
                <w:color w:val="494949"/>
                <w:kern w:val="0"/>
                <w:szCs w:val="21"/>
                <w:lang w:val="en-US" w:eastAsia="zh-CN"/>
              </w:rPr>
              <w:t>顾</w:t>
            </w:r>
            <w:r>
              <w:rPr>
                <w:rFonts w:hint="eastAsia" w:ascii="宋体" w:hAnsi="宋体" w:eastAsia="宋体" w:cs="宋体"/>
                <w:bCs/>
                <w:color w:val="494949"/>
                <w:kern w:val="0"/>
                <w:szCs w:val="21"/>
                <w:lang w:val="en-US" w:eastAsia="zh-Hans"/>
              </w:rPr>
              <w:t>字（</w:t>
            </w:r>
            <w:r>
              <w:rPr>
                <w:rFonts w:hint="eastAsia" w:ascii="宋体" w:hAnsi="宋体" w:cs="宋体"/>
                <w:bCs/>
                <w:color w:val="494949"/>
                <w:kern w:val="0"/>
                <w:szCs w:val="21"/>
                <w:lang w:eastAsia="zh-CN"/>
              </w:rPr>
              <w:t>{{年份</w:t>
            </w:r>
            <w:r>
              <w:rPr>
                <w:rFonts w:hint="eastAsia" w:ascii="宋体" w:hAnsi="宋体" w:cs="宋体"/>
                <w:bCs/>
                <w:color w:val="494949"/>
                <w:kern w:val="0"/>
                <w:szCs w:val="21"/>
                <w:lang w:val="en-US" w:eastAsia="zh-CN"/>
              </w:rPr>
              <w:t>}</w:t>
            </w:r>
            <w:r>
              <w:rPr>
                <w:rFonts w:hint="eastAsia" w:ascii="宋体" w:hAnsi="宋体" w:cs="宋体"/>
                <w:bCs/>
                <w:color w:val="494949"/>
                <w:kern w:val="0"/>
                <w:szCs w:val="21"/>
                <w:lang w:eastAsia="zh-CN"/>
              </w:rPr>
              <w:t>}</w:t>
            </w:r>
            <w:r>
              <w:rPr>
                <w:rFonts w:hint="eastAsia" w:ascii="宋体" w:hAnsi="宋体" w:eastAsia="宋体" w:cs="宋体"/>
                <w:bCs/>
                <w:color w:val="494949"/>
                <w:kern w:val="0"/>
                <w:szCs w:val="21"/>
                <w:lang w:eastAsia="zh-Hans"/>
              </w:rPr>
              <w:t>）</w:t>
            </w:r>
            <w:r>
              <w:rPr>
                <w:rFonts w:hint="eastAsia" w:ascii="宋体" w:hAnsi="宋体" w:eastAsia="宋体" w:cs="宋体"/>
                <w:bCs/>
                <w:color w:val="494949"/>
                <w:kern w:val="0"/>
                <w:szCs w:val="21"/>
                <w:lang w:val="en-US" w:eastAsia="zh-Hans"/>
              </w:rPr>
              <w:t>第</w:t>
            </w:r>
            <w:r>
              <w:rPr>
                <w:rFonts w:hint="eastAsia" w:ascii="宋体" w:hAnsi="宋体" w:eastAsia="宋体" w:cs="宋体"/>
                <w:bCs/>
                <w:color w:val="494949"/>
                <w:kern w:val="0"/>
                <w:szCs w:val="21"/>
                <w:lang w:val="en-US" w:eastAsia="zh-CN"/>
              </w:rPr>
              <w:t xml:space="preserve">   </w:t>
            </w:r>
            <w:r>
              <w:rPr>
                <w:rFonts w:hint="eastAsia" w:ascii="宋体" w:hAnsi="宋体" w:eastAsia="宋体" w:cs="宋体"/>
                <w:bCs/>
                <w:color w:val="494949"/>
                <w:kern w:val="0"/>
                <w:szCs w:val="21"/>
                <w:lang w:val="en-US" w:eastAsia="zh-Hans"/>
              </w:rPr>
              <w:t>号</w:t>
            </w:r>
          </w:p>
        </w:tc>
        <w:tc>
          <w:tcPr>
            <w:tcW w:w="795" w:type="pct"/>
            <w:vAlign w:val="center"/>
          </w:tcPr>
          <w:p w14:paraId="571F3372">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承办律师</w:t>
            </w:r>
          </w:p>
        </w:tc>
        <w:tc>
          <w:tcPr>
            <w:tcW w:w="1213" w:type="pct"/>
            <w:vAlign w:val="center"/>
          </w:tcPr>
          <w:p w14:paraId="06B3D37B">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eastAsia" w:ascii="宋体" w:hAnsi="宋体" w:eastAsia="宋体" w:cs="宋体"/>
                <w:bCs/>
                <w:color w:val="494949"/>
                <w:kern w:val="0"/>
                <w:szCs w:val="21"/>
                <w:lang w:val="en-US" w:eastAsia="zh-Hans"/>
              </w:rPr>
            </w:pPr>
            <w:r>
              <w:rPr>
                <w:rFonts w:hint="eastAsia" w:ascii="宋体" w:hAnsi="宋体" w:eastAsia="宋体" w:cs="宋体"/>
                <w:bCs/>
                <w:color w:val="494949"/>
                <w:kern w:val="0"/>
                <w:szCs w:val="21"/>
                <w:lang w:val="en-US" w:eastAsia="zh-Hans"/>
              </w:rPr>
              <w:t>{{律师姓名}}</w:t>
            </w:r>
          </w:p>
        </w:tc>
      </w:tr>
      <w:tr w14:paraId="3021CED4">
        <w:trPr>
          <w:trHeight w:val="540" w:hRule="atLeast"/>
        </w:trPr>
        <w:tc>
          <w:tcPr>
            <w:tcW w:w="922" w:type="pct"/>
            <w:vAlign w:val="center"/>
          </w:tcPr>
          <w:p w14:paraId="5B5F3E4D">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eastAsia" w:ascii="宋体" w:hAnsi="宋体" w:eastAsia="宋体" w:cs="宋体"/>
                <w:bCs/>
                <w:color w:val="494949"/>
                <w:kern w:val="0"/>
                <w:szCs w:val="21"/>
              </w:rPr>
              <w:t>委托人姓名</w:t>
            </w:r>
          </w:p>
        </w:tc>
        <w:tc>
          <w:tcPr>
            <w:tcW w:w="2069" w:type="pct"/>
            <w:vAlign w:val="center"/>
          </w:tcPr>
          <w:p w14:paraId="6CCD97B9">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ascii="宋体" w:hAnsi="宋体" w:eastAsia="宋体" w:cs="宋体"/>
                <w:bCs/>
                <w:color w:val="494949"/>
                <w:kern w:val="0"/>
                <w:szCs w:val="21"/>
              </w:rPr>
            </w:pPr>
            <w:r>
              <w:rPr>
                <w:rFonts w:hint="default" w:ascii="宋体" w:hAnsi="宋体" w:cs="宋体"/>
                <w:b/>
                <w:sz w:val="21"/>
                <w:szCs w:val="21"/>
              </w:rPr>
              <w:t>{{</w:t>
            </w:r>
            <w:r>
              <w:rPr>
                <w:rFonts w:hint="eastAsia" w:ascii="宋体" w:hAnsi="宋体" w:cs="宋体"/>
                <w:b/>
                <w:sz w:val="21"/>
                <w:szCs w:val="21"/>
                <w:lang w:val="en-US" w:eastAsia="zh-CN"/>
              </w:rPr>
              <w:t>委托人</w:t>
            </w:r>
            <w:r>
              <w:rPr>
                <w:rFonts w:hint="default" w:ascii="宋体" w:hAnsi="宋体" w:cs="宋体"/>
                <w:b/>
                <w:sz w:val="21"/>
                <w:szCs w:val="21"/>
              </w:rPr>
              <w:t>名称}}</w:t>
            </w:r>
          </w:p>
        </w:tc>
        <w:tc>
          <w:tcPr>
            <w:tcW w:w="795" w:type="pct"/>
            <w:vAlign w:val="center"/>
          </w:tcPr>
          <w:p w14:paraId="39353986">
            <w:pPr>
              <w:keepNext w:val="0"/>
              <w:keepLines w:val="0"/>
              <w:pageBreakBefore w:val="0"/>
              <w:widowControl/>
              <w:kinsoku/>
              <w:wordWrap/>
              <w:overflowPunct/>
              <w:topLinePunct w:val="0"/>
              <w:autoSpaceDE/>
              <w:autoSpaceDN/>
              <w:bidi w:val="0"/>
              <w:adjustRightInd w:val="0"/>
              <w:snapToGrid w:val="0"/>
              <w:spacing w:line="360" w:lineRule="auto"/>
              <w:ind w:left="315" w:leftChars="0" w:right="0" w:hanging="315" w:hangingChars="150"/>
              <w:jc w:val="center"/>
              <w:rPr>
                <w:rFonts w:ascii="宋体" w:hAnsi="宋体" w:eastAsia="宋体" w:cs="宋体"/>
                <w:bCs/>
                <w:color w:val="494949"/>
                <w:kern w:val="0"/>
                <w:szCs w:val="21"/>
              </w:rPr>
            </w:pPr>
            <w:r>
              <w:rPr>
                <w:rFonts w:hint="eastAsia" w:ascii="宋体" w:hAnsi="宋体" w:eastAsia="宋体" w:cs="宋体"/>
                <w:bCs/>
                <w:color w:val="494949"/>
                <w:kern w:val="0"/>
                <w:szCs w:val="21"/>
              </w:rPr>
              <w:t>联系电话</w:t>
            </w:r>
          </w:p>
        </w:tc>
        <w:tc>
          <w:tcPr>
            <w:tcW w:w="1213" w:type="pct"/>
            <w:vAlign w:val="center"/>
          </w:tcPr>
          <w:p w14:paraId="06C1750D">
            <w:pPr>
              <w:keepNext w:val="0"/>
              <w:keepLines w:val="0"/>
              <w:pageBreakBefore w:val="0"/>
              <w:widowControl/>
              <w:kinsoku/>
              <w:wordWrap/>
              <w:overflowPunct/>
              <w:topLinePunct w:val="0"/>
              <w:autoSpaceDE/>
              <w:autoSpaceDN/>
              <w:bidi w:val="0"/>
              <w:adjustRightInd w:val="0"/>
              <w:snapToGrid w:val="0"/>
              <w:spacing w:line="360" w:lineRule="auto"/>
              <w:ind w:left="0" w:leftChars="0" w:right="0"/>
              <w:jc w:val="center"/>
              <w:rPr>
                <w:rFonts w:hint="default" w:ascii="宋体" w:hAnsi="宋体" w:eastAsia="宋体" w:cs="宋体"/>
                <w:bCs/>
                <w:color w:val="494949"/>
                <w:kern w:val="0"/>
                <w:szCs w:val="21"/>
              </w:rPr>
            </w:pPr>
            <w:r>
              <w:rPr>
                <w:rFonts w:hint="default" w:ascii="宋体" w:hAnsi="宋体" w:eastAsia="宋体" w:cs="宋体"/>
                <w:bCs/>
                <w:color w:val="494949"/>
                <w:kern w:val="0"/>
                <w:szCs w:val="21"/>
              </w:rPr>
              <w:t>/</w:t>
            </w:r>
          </w:p>
        </w:tc>
      </w:tr>
    </w:tbl>
    <w:p w14:paraId="02335D41">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center"/>
        <w:rPr>
          <w:rFonts w:ascii="宋体" w:hAnsi="宋体" w:eastAsia="宋体" w:cs="宋体"/>
          <w:color w:val="494949"/>
          <w:kern w:val="0"/>
          <w:szCs w:val="21"/>
        </w:rPr>
      </w:pPr>
      <w:r>
        <w:rPr>
          <w:rFonts w:ascii="宋体" w:hAnsi="宋体" w:eastAsia="宋体" w:cs="宋体"/>
          <w:b/>
          <w:bCs/>
          <w:color w:val="494949"/>
          <w:kern w:val="0"/>
          <w:szCs w:val="21"/>
        </w:rPr>
        <w:t> </w:t>
      </w:r>
    </w:p>
    <w:p w14:paraId="4A95754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1、是否由律师事务所与委托人签订委托代理合同</w:t>
      </w:r>
      <w:r>
        <w:rPr>
          <w:rFonts w:hint="eastAsia" w:cs="宋体" w:asciiTheme="minorEastAsia" w:hAnsiTheme="minorEastAsia"/>
          <w:bCs/>
          <w:color w:val="494949"/>
          <w:kern w:val="0"/>
          <w:szCs w:val="21"/>
        </w:rPr>
        <w:t>：</w:t>
      </w:r>
      <w:r>
        <w:rPr>
          <w:rFonts w:cs="宋体" w:asciiTheme="minorEastAsia" w:hAnsiTheme="minorEastAsia"/>
          <w:bCs/>
          <w:color w:val="494949"/>
          <w:kern w:val="0"/>
          <w:szCs w:val="21"/>
        </w:rPr>
        <w:t> </w:t>
      </w:r>
    </w:p>
    <w:p w14:paraId="7DA655E6">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cs="宋体" w:asciiTheme="minorEastAsia" w:hAnsiTheme="minorEastAsia"/>
          <w:color w:val="494949"/>
          <w:kern w:val="0"/>
          <w:szCs w:val="21"/>
        </w:rPr>
        <w:t>      否□</w:t>
      </w:r>
    </w:p>
    <w:p w14:paraId="4896C7CD">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2、是否由律师事务所向委托人收取律师费并如实出具发票</w:t>
      </w:r>
      <w:r>
        <w:rPr>
          <w:rFonts w:hint="eastAsia" w:cs="宋体" w:asciiTheme="minorEastAsia" w:hAnsiTheme="minorEastAsia"/>
          <w:bCs/>
          <w:color w:val="494949"/>
          <w:kern w:val="0"/>
          <w:szCs w:val="21"/>
        </w:rPr>
        <w:t>：</w:t>
      </w:r>
    </w:p>
    <w:p w14:paraId="2EBEE20C">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57D7DBF7">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bCs/>
          <w:color w:val="494949"/>
          <w:kern w:val="0"/>
          <w:szCs w:val="21"/>
        </w:rPr>
      </w:pPr>
      <w:r>
        <w:rPr>
          <w:rFonts w:cs="宋体" w:asciiTheme="minorEastAsia" w:hAnsiTheme="minorEastAsia"/>
          <w:bCs/>
          <w:color w:val="494949"/>
          <w:kern w:val="0"/>
          <w:szCs w:val="21"/>
        </w:rPr>
        <w:t>3、接受委托后承办律师是否在律师费外收取了其他额外报酬或财物</w:t>
      </w:r>
      <w:r>
        <w:rPr>
          <w:rFonts w:hint="eastAsia" w:cs="宋体" w:asciiTheme="minorEastAsia" w:hAnsiTheme="minorEastAsia"/>
          <w:bCs/>
          <w:color w:val="494949"/>
          <w:kern w:val="0"/>
          <w:szCs w:val="21"/>
        </w:rPr>
        <w:t>：</w:t>
      </w:r>
    </w:p>
    <w:p w14:paraId="1D84E136">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54CC5AD2">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4、接受委托前承办律师是否向委托人作过虚假承诺</w:t>
      </w:r>
      <w:r>
        <w:rPr>
          <w:rFonts w:hint="eastAsia" w:cs="宋体" w:asciiTheme="minorEastAsia" w:hAnsiTheme="minorEastAsia"/>
          <w:bCs/>
          <w:color w:val="494949"/>
          <w:kern w:val="0"/>
          <w:szCs w:val="21"/>
        </w:rPr>
        <w:t>：</w:t>
      </w:r>
    </w:p>
    <w:p w14:paraId="247D567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3B059A31">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5、接受委托后承办律师是否有无正当理由而不按时出庭参加诉讼、仲裁或有其他拒绝辩护、代理现象</w:t>
      </w:r>
      <w:r>
        <w:rPr>
          <w:rFonts w:hint="eastAsia" w:cs="宋体" w:asciiTheme="minorEastAsia" w:hAnsiTheme="minorEastAsia"/>
          <w:bCs/>
          <w:color w:val="494949"/>
          <w:kern w:val="0"/>
          <w:szCs w:val="21"/>
        </w:rPr>
        <w:t>：</w:t>
      </w:r>
    </w:p>
    <w:p w14:paraId="74BEB6CD">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1DD4A4B8">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6、接受委托后承办律师是否有敷衍推诿、不尽职尽责的现象</w:t>
      </w:r>
      <w:r>
        <w:rPr>
          <w:rFonts w:hint="eastAsia" w:cs="宋体" w:asciiTheme="minorEastAsia" w:hAnsiTheme="minorEastAsia"/>
          <w:bCs/>
          <w:color w:val="494949"/>
          <w:kern w:val="0"/>
          <w:szCs w:val="21"/>
        </w:rPr>
        <w:t>：</w:t>
      </w:r>
    </w:p>
    <w:p w14:paraId="6D58758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A3"/>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1A88B83A">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7、在委托代理合同中约定代收有关法律文书的，承办律师是否及时向委托人送达判决书、调解书、裁定书等法律文书</w:t>
      </w:r>
      <w:r>
        <w:rPr>
          <w:rFonts w:hint="eastAsia" w:cs="宋体" w:asciiTheme="minorEastAsia" w:hAnsiTheme="minorEastAsia"/>
          <w:bCs/>
          <w:color w:val="494949"/>
          <w:kern w:val="0"/>
          <w:szCs w:val="21"/>
        </w:rPr>
        <w:t>：</w:t>
      </w:r>
    </w:p>
    <w:p w14:paraId="27666046">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6531B2AF">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8、承办律师与委托人是否办妥本案有关证据资料的交接手续</w:t>
      </w:r>
      <w:r>
        <w:rPr>
          <w:rFonts w:hint="eastAsia" w:cs="宋体" w:asciiTheme="minorEastAsia" w:hAnsiTheme="minorEastAsia"/>
          <w:bCs/>
          <w:color w:val="494949"/>
          <w:kern w:val="0"/>
          <w:szCs w:val="21"/>
        </w:rPr>
        <w:t>：</w:t>
      </w:r>
    </w:p>
    <w:p w14:paraId="3CAA7BA1">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0CDC1E84">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bCs/>
          <w:color w:val="494949"/>
          <w:kern w:val="0"/>
          <w:szCs w:val="21"/>
        </w:rPr>
        <w:t>9、对承办律师办理本案总的评价</w:t>
      </w:r>
      <w:r>
        <w:rPr>
          <w:rFonts w:hint="eastAsia" w:cs="宋体" w:asciiTheme="minorEastAsia" w:hAnsiTheme="minorEastAsia"/>
          <w:bCs/>
          <w:color w:val="494949"/>
          <w:kern w:val="0"/>
          <w:szCs w:val="21"/>
        </w:rPr>
        <w:t>：</w:t>
      </w:r>
    </w:p>
    <w:p w14:paraId="2D28F53E">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left"/>
        <w:rPr>
          <w:rFonts w:cs="宋体" w:asciiTheme="minorEastAsia" w:hAnsiTheme="minorEastAsia"/>
          <w:color w:val="494949"/>
          <w:kern w:val="0"/>
          <w:szCs w:val="21"/>
        </w:rPr>
      </w:pPr>
      <w:r>
        <w:rPr>
          <w:rFonts w:cs="宋体" w:asciiTheme="minorEastAsia" w:hAnsiTheme="minorEastAsia"/>
          <w:color w:val="494949"/>
          <w:kern w:val="0"/>
          <w:szCs w:val="21"/>
        </w:rPr>
        <w:t>好</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较好□</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一般□</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较差□</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差□</w:t>
      </w:r>
    </w:p>
    <w:p w14:paraId="5773DFD1">
      <w:pPr>
        <w:keepNext w:val="0"/>
        <w:keepLines w:val="0"/>
        <w:pageBreakBefore w:val="0"/>
        <w:numPr>
          <w:ilvl w:val="0"/>
          <w:numId w:val="2"/>
        </w:numPr>
        <w:kinsoku/>
        <w:wordWrap/>
        <w:overflowPunct/>
        <w:topLinePunct w:val="0"/>
        <w:autoSpaceDE/>
        <w:autoSpaceDN/>
        <w:bidi w:val="0"/>
        <w:adjustRightInd w:val="0"/>
        <w:snapToGrid w:val="0"/>
        <w:spacing w:line="360" w:lineRule="auto"/>
        <w:ind w:left="0" w:leftChars="0" w:right="0"/>
        <w:textAlignment w:val="baseline"/>
        <w:rPr>
          <w:rFonts w:hint="eastAsia" w:cs="宋体" w:asciiTheme="minorEastAsia" w:hAnsiTheme="minorEastAsia"/>
          <w:color w:val="494949"/>
          <w:kern w:val="0"/>
          <w:szCs w:val="21"/>
          <w:u w:val="single"/>
        </w:rPr>
      </w:pPr>
      <w:r>
        <w:rPr>
          <w:rFonts w:cs="宋体" w:asciiTheme="minorEastAsia" w:hAnsiTheme="minorEastAsia"/>
          <w:bCs/>
          <w:color w:val="494949"/>
          <w:kern w:val="0"/>
          <w:szCs w:val="21"/>
        </w:rPr>
        <w:t>对律师办理本案的意见和建议</w:t>
      </w:r>
      <w:r>
        <w:rPr>
          <w:rFonts w:hint="eastAsia" w:cs="宋体" w:asciiTheme="minorEastAsia" w:hAnsiTheme="minorEastAsia"/>
          <w:color w:val="494949"/>
          <w:kern w:val="0"/>
          <w:szCs w:val="21"/>
        </w:rPr>
        <w:t>：</w:t>
      </w:r>
      <w:r>
        <w:rPr>
          <w:rFonts w:hint="eastAsia" w:cs="宋体" w:asciiTheme="minorEastAsia" w:hAnsiTheme="minorEastAsia"/>
          <w:color w:val="494949"/>
          <w:kern w:val="0"/>
          <w:szCs w:val="21"/>
          <w:u w:val="single"/>
        </w:rPr>
        <w:t xml:space="preserve">                                                        </w:t>
      </w:r>
    </w:p>
    <w:p w14:paraId="75E90538">
      <w:pPr>
        <w:keepNext w:val="0"/>
        <w:keepLines w:val="0"/>
        <w:pageBreakBefore w:val="0"/>
        <w:widowControl/>
        <w:shd w:val="clear" w:color="auto" w:fill="FFFFFF"/>
        <w:kinsoku/>
        <w:wordWrap/>
        <w:overflowPunct/>
        <w:topLinePunct w:val="0"/>
        <w:autoSpaceDE/>
        <w:autoSpaceDN/>
        <w:bidi w:val="0"/>
        <w:adjustRightInd w:val="0"/>
        <w:snapToGrid w:val="0"/>
        <w:spacing w:line="360" w:lineRule="auto"/>
        <w:ind w:left="0" w:leftChars="0" w:right="0"/>
        <w:jc w:val="both"/>
        <w:rPr>
          <w:rFonts w:hint="eastAsia" w:ascii="宋体" w:hAnsi="宋体" w:eastAsia="宋体" w:cs="宋体"/>
          <w:color w:val="494949"/>
          <w:kern w:val="0"/>
          <w:szCs w:val="21"/>
        </w:rPr>
      </w:pPr>
    </w:p>
    <w:tbl>
      <w:tblPr>
        <w:tblStyle w:val="13"/>
        <w:tblW w:w="0" w:type="auto"/>
        <w:tblInd w:w="4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4"/>
      </w:tblGrid>
      <w:tr w14:paraId="7393053C">
        <w:tc>
          <w:tcPr>
            <w:tcW w:w="5434" w:type="dxa"/>
            <w:tcBorders>
              <w:top w:val="nil"/>
              <w:left w:val="nil"/>
              <w:bottom w:val="nil"/>
              <w:right w:val="nil"/>
            </w:tcBorders>
          </w:tcPr>
          <w:p w14:paraId="513C21B9">
            <w:pPr>
              <w:widowControl/>
              <w:spacing w:after="75" w:line="315" w:lineRule="atLeast"/>
              <w:jc w:val="both"/>
              <w:rPr>
                <w:rFonts w:hint="eastAsia" w:ascii="宋体" w:hAnsi="宋体" w:eastAsia="宋体" w:cs="宋体"/>
                <w:color w:val="494949"/>
                <w:kern w:val="0"/>
                <w:szCs w:val="21"/>
                <w:vertAlign w:val="baseline"/>
              </w:rPr>
            </w:pPr>
            <w:r>
              <w:rPr>
                <w:rFonts w:hint="eastAsia" w:ascii="宋体" w:hAnsi="宋体" w:eastAsia="宋体" w:cs="宋体"/>
                <w:color w:val="494949"/>
                <w:kern w:val="0"/>
                <w:szCs w:val="21"/>
                <w:vertAlign w:val="baseline"/>
              </w:rPr>
              <w:t>委托方签字/盖章：{{委托人名称}}</w:t>
            </w:r>
          </w:p>
        </w:tc>
      </w:tr>
      <w:tr w14:paraId="6F7FEC43">
        <w:tc>
          <w:tcPr>
            <w:tcW w:w="5434" w:type="dxa"/>
            <w:tcBorders>
              <w:top w:val="nil"/>
              <w:left w:val="nil"/>
              <w:bottom w:val="nil"/>
              <w:right w:val="nil"/>
            </w:tcBorders>
          </w:tcPr>
          <w:p w14:paraId="6880401F">
            <w:pPr>
              <w:widowControl/>
              <w:spacing w:after="75" w:line="315" w:lineRule="atLeast"/>
              <w:jc w:val="both"/>
              <w:rPr>
                <w:rFonts w:hint="eastAsia" w:ascii="宋体" w:hAnsi="宋体" w:eastAsia="宋体" w:cs="宋体"/>
                <w:color w:val="494949"/>
                <w:kern w:val="0"/>
                <w:szCs w:val="21"/>
                <w:vertAlign w:val="baseline"/>
              </w:rPr>
            </w:pPr>
            <w:r>
              <w:rPr>
                <w:rFonts w:hint="eastAsia" w:ascii="宋体" w:hAnsi="宋体" w:eastAsia="宋体" w:cs="宋体"/>
                <w:color w:val="494949"/>
                <w:kern w:val="0"/>
                <w:szCs w:val="21"/>
                <w:vertAlign w:val="baseline"/>
              </w:rPr>
              <w:t>日期：{{指定日期}}</w:t>
            </w:r>
          </w:p>
        </w:tc>
      </w:tr>
    </w:tbl>
    <w:p w14:paraId="64097417">
      <w:pPr>
        <w:keepNext w:val="0"/>
        <w:keepLines w:val="0"/>
        <w:pageBreakBefore w:val="0"/>
        <w:widowControl/>
        <w:shd w:val="clear" w:color="auto" w:fill="FFFFFF"/>
        <w:kinsoku/>
        <w:wordWrap/>
        <w:overflowPunct/>
        <w:topLinePunct w:val="0"/>
        <w:autoSpaceDE/>
        <w:autoSpaceDN/>
        <w:bidi w:val="0"/>
        <w:adjustRightInd/>
        <w:snapToGrid/>
        <w:spacing w:after="75" w:line="360" w:lineRule="auto"/>
        <w:ind w:right="0"/>
        <w:jc w:val="left"/>
        <w:rPr>
          <w:rFonts w:ascii="黑体" w:eastAsia="黑体"/>
          <w:sz w:val="32"/>
          <w:szCs w:val="36"/>
        </w:rPr>
      </w:pPr>
    </w:p>
    <w:sectPr>
      <w:headerReference r:id="rId5" w:type="first"/>
      <w:footerReference r:id="rId7" w:type="first"/>
      <w:headerReference r:id="rId4" w:type="default"/>
      <w:footerReference r:id="rId6" w:type="default"/>
      <w:pgSz w:w="11906" w:h="16838"/>
      <w:pgMar w:top="2268" w:right="1134" w:bottom="1588" w:left="1134" w:header="851" w:footer="992" w:gutter="0"/>
      <w:pgNumType w:fmt="decimal"/>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99254">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8AD3B6">
                          <w:pPr>
                            <w:pStyle w:val="8"/>
                          </w:pPr>
                          <w:r>
                            <w:t xml:space="preserve">第 </w:t>
                          </w:r>
                          <w:r>
                            <w:fldChar w:fldCharType="begin"/>
                          </w:r>
                          <w:r>
                            <w:instrText xml:space="preserve"> PAGE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B8AD3B6">
                    <w:pPr>
                      <w:pStyle w:val="8"/>
                    </w:pPr>
                    <w:r>
                      <w:t xml:space="preserve">第 </w:t>
                    </w:r>
                    <w:r>
                      <w:fldChar w:fldCharType="begin"/>
                    </w:r>
                    <w:r>
                      <w:instrText xml:space="preserve"> PAGE  \* MERGEFORMAT </w:instrText>
                    </w:r>
                    <w:r>
                      <w:fldChar w:fldCharType="separate"/>
                    </w:r>
                    <w:r>
                      <w:t>2</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B582B">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EC4F4A">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8EC4F4A">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A280E">
    <w:pPr>
      <w:pStyle w:val="9"/>
      <w:rPr>
        <w:rFonts w:hint="eastAsia" w:eastAsia="宋体"/>
        <w:lang w:eastAsia="zh-CN"/>
      </w:rPr>
    </w:pPr>
    <w:r>
      <w:rPr>
        <w:rFonts w:hint="eastAsia" w:eastAsia="宋体"/>
        <w:lang w:eastAsia="zh-CN"/>
      </w:rPr>
      <w:drawing>
        <wp:inline distT="0" distB="0" distL="114300" distR="114300">
          <wp:extent cx="6116955" cy="1040130"/>
          <wp:effectExtent l="0" t="0" r="4445" b="1270"/>
          <wp:docPr id="3" name="图片 3" descr="新页眉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页眉2"/>
                  <pic:cNvPicPr>
                    <a:picLocks noChangeAspect="1"/>
                  </pic:cNvPicPr>
                </pic:nvPicPr>
                <pic:blipFill>
                  <a:blip r:embed="rId1"/>
                  <a:stretch>
                    <a:fillRect/>
                  </a:stretch>
                </pic:blipFill>
                <pic:spPr>
                  <a:xfrm>
                    <a:off x="0" y="0"/>
                    <a:ext cx="6116955" cy="104013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51766">
    <w:pPr>
      <w:pStyle w:val="9"/>
      <w:rPr>
        <w:rFonts w:hint="eastAsia" w:eastAsia="宋体"/>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F61D2">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FDB9EC"/>
    <w:multiLevelType w:val="multilevel"/>
    <w:tmpl w:val="EEFDB9EC"/>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default"/>
        <w:color w:val="auto"/>
      </w:rPr>
    </w:lvl>
    <w:lvl w:ilvl="2" w:tentative="0">
      <w:start w:val="1"/>
      <w:numFmt w:val="decimal"/>
      <w:suff w:val="nothing"/>
      <w:lvlText w:val="（%3）"/>
      <w:lvlJc w:val="left"/>
      <w:pPr>
        <w:ind w:left="0" w:firstLine="402"/>
      </w:pPr>
      <w:rPr>
        <w:rFonts w:hint="eastAsia"/>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7FA67B93"/>
    <w:multiLevelType w:val="singleLevel"/>
    <w:tmpl w:val="7FA67B93"/>
    <w:lvl w:ilvl="0" w:tentative="0">
      <w:start w:val="10"/>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attachedTemplate r:id="rId1"/>
  <w:trackRevisions w:val="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ZlZWJkZGNiMjg0NDZmNzRkZDFjMDZmYzFiNDBlZTIifQ=="/>
  </w:docVars>
  <w:rsids>
    <w:rsidRoot w:val="00AC4633"/>
    <w:rsid w:val="00004B9F"/>
    <w:rsid w:val="00006031"/>
    <w:rsid w:val="000374FB"/>
    <w:rsid w:val="000430EF"/>
    <w:rsid w:val="00057834"/>
    <w:rsid w:val="0009067E"/>
    <w:rsid w:val="000921E5"/>
    <w:rsid w:val="000A05FB"/>
    <w:rsid w:val="000A3C68"/>
    <w:rsid w:val="000B1B1A"/>
    <w:rsid w:val="000B1C4C"/>
    <w:rsid w:val="000C0257"/>
    <w:rsid w:val="000D3B8D"/>
    <w:rsid w:val="000F30DF"/>
    <w:rsid w:val="00137BB3"/>
    <w:rsid w:val="0014461B"/>
    <w:rsid w:val="00153F24"/>
    <w:rsid w:val="00154B0C"/>
    <w:rsid w:val="0015758F"/>
    <w:rsid w:val="0016186F"/>
    <w:rsid w:val="0016436A"/>
    <w:rsid w:val="00166245"/>
    <w:rsid w:val="00171322"/>
    <w:rsid w:val="00184F13"/>
    <w:rsid w:val="001C74F2"/>
    <w:rsid w:val="001F37A1"/>
    <w:rsid w:val="001F7F85"/>
    <w:rsid w:val="0021290A"/>
    <w:rsid w:val="00217AD4"/>
    <w:rsid w:val="00244545"/>
    <w:rsid w:val="0027522E"/>
    <w:rsid w:val="00287BBB"/>
    <w:rsid w:val="002F1DC6"/>
    <w:rsid w:val="00317198"/>
    <w:rsid w:val="0033092A"/>
    <w:rsid w:val="00332188"/>
    <w:rsid w:val="00347B1E"/>
    <w:rsid w:val="00357119"/>
    <w:rsid w:val="00357A92"/>
    <w:rsid w:val="003674A5"/>
    <w:rsid w:val="00397F7A"/>
    <w:rsid w:val="0041505A"/>
    <w:rsid w:val="00443507"/>
    <w:rsid w:val="00446CF9"/>
    <w:rsid w:val="004771ED"/>
    <w:rsid w:val="00481E2D"/>
    <w:rsid w:val="004B1CD6"/>
    <w:rsid w:val="004B4308"/>
    <w:rsid w:val="004E09E6"/>
    <w:rsid w:val="0050135D"/>
    <w:rsid w:val="005059FF"/>
    <w:rsid w:val="00506EED"/>
    <w:rsid w:val="0054766C"/>
    <w:rsid w:val="00551FB1"/>
    <w:rsid w:val="00556146"/>
    <w:rsid w:val="00564E5B"/>
    <w:rsid w:val="00570B9D"/>
    <w:rsid w:val="00591FF9"/>
    <w:rsid w:val="00595AF1"/>
    <w:rsid w:val="005A01FF"/>
    <w:rsid w:val="005E5251"/>
    <w:rsid w:val="005F494B"/>
    <w:rsid w:val="005F6FAC"/>
    <w:rsid w:val="005F7B0A"/>
    <w:rsid w:val="006015E3"/>
    <w:rsid w:val="006202E8"/>
    <w:rsid w:val="006338F1"/>
    <w:rsid w:val="00634E32"/>
    <w:rsid w:val="0064615D"/>
    <w:rsid w:val="00657E81"/>
    <w:rsid w:val="00657F4B"/>
    <w:rsid w:val="00674681"/>
    <w:rsid w:val="006778A2"/>
    <w:rsid w:val="00680ECC"/>
    <w:rsid w:val="006C08B9"/>
    <w:rsid w:val="006C4225"/>
    <w:rsid w:val="006D4E72"/>
    <w:rsid w:val="006E298F"/>
    <w:rsid w:val="006E30B1"/>
    <w:rsid w:val="006F04B6"/>
    <w:rsid w:val="007007C5"/>
    <w:rsid w:val="00706A64"/>
    <w:rsid w:val="00730A15"/>
    <w:rsid w:val="00761F56"/>
    <w:rsid w:val="00782F45"/>
    <w:rsid w:val="007D1B88"/>
    <w:rsid w:val="007F18B0"/>
    <w:rsid w:val="00822C10"/>
    <w:rsid w:val="008231A2"/>
    <w:rsid w:val="008429C9"/>
    <w:rsid w:val="00864BA0"/>
    <w:rsid w:val="0087131C"/>
    <w:rsid w:val="008937E7"/>
    <w:rsid w:val="00895DE5"/>
    <w:rsid w:val="00897361"/>
    <w:rsid w:val="008A78AF"/>
    <w:rsid w:val="008C7778"/>
    <w:rsid w:val="008D2464"/>
    <w:rsid w:val="008D6E8A"/>
    <w:rsid w:val="009311A2"/>
    <w:rsid w:val="009610D2"/>
    <w:rsid w:val="009A05A9"/>
    <w:rsid w:val="009C7AAC"/>
    <w:rsid w:val="009D1309"/>
    <w:rsid w:val="009D5DA4"/>
    <w:rsid w:val="009F2484"/>
    <w:rsid w:val="00A46546"/>
    <w:rsid w:val="00A4724A"/>
    <w:rsid w:val="00A53472"/>
    <w:rsid w:val="00A72BF2"/>
    <w:rsid w:val="00A73957"/>
    <w:rsid w:val="00A9124A"/>
    <w:rsid w:val="00AA4320"/>
    <w:rsid w:val="00AC0AA1"/>
    <w:rsid w:val="00AC3BA8"/>
    <w:rsid w:val="00AC4633"/>
    <w:rsid w:val="00AE5314"/>
    <w:rsid w:val="00AE7335"/>
    <w:rsid w:val="00AF01E8"/>
    <w:rsid w:val="00AF1128"/>
    <w:rsid w:val="00AF1C6E"/>
    <w:rsid w:val="00AF5042"/>
    <w:rsid w:val="00AF6CEF"/>
    <w:rsid w:val="00B22034"/>
    <w:rsid w:val="00B33959"/>
    <w:rsid w:val="00B54C6E"/>
    <w:rsid w:val="00B90804"/>
    <w:rsid w:val="00BA3C57"/>
    <w:rsid w:val="00BD7588"/>
    <w:rsid w:val="00BE2C85"/>
    <w:rsid w:val="00BE5CBF"/>
    <w:rsid w:val="00BF3D16"/>
    <w:rsid w:val="00C2735D"/>
    <w:rsid w:val="00C35523"/>
    <w:rsid w:val="00C52863"/>
    <w:rsid w:val="00C73139"/>
    <w:rsid w:val="00C73948"/>
    <w:rsid w:val="00C767B5"/>
    <w:rsid w:val="00C91FF9"/>
    <w:rsid w:val="00C95D00"/>
    <w:rsid w:val="00CB7CD5"/>
    <w:rsid w:val="00CC6AD4"/>
    <w:rsid w:val="00CC7BAC"/>
    <w:rsid w:val="00CD0AC5"/>
    <w:rsid w:val="00CF6C04"/>
    <w:rsid w:val="00D050FC"/>
    <w:rsid w:val="00D26E5C"/>
    <w:rsid w:val="00D57081"/>
    <w:rsid w:val="00D62C14"/>
    <w:rsid w:val="00DA366C"/>
    <w:rsid w:val="00DB3D4D"/>
    <w:rsid w:val="00DB71FB"/>
    <w:rsid w:val="00E01F07"/>
    <w:rsid w:val="00E53660"/>
    <w:rsid w:val="00E54D23"/>
    <w:rsid w:val="00E56A6C"/>
    <w:rsid w:val="00E80C61"/>
    <w:rsid w:val="00EA5738"/>
    <w:rsid w:val="00EB3369"/>
    <w:rsid w:val="00ED2715"/>
    <w:rsid w:val="00ED4CA1"/>
    <w:rsid w:val="00ED7A3B"/>
    <w:rsid w:val="00EE71D3"/>
    <w:rsid w:val="00F07FD6"/>
    <w:rsid w:val="00F300B3"/>
    <w:rsid w:val="00F70258"/>
    <w:rsid w:val="00F7117F"/>
    <w:rsid w:val="00F94102"/>
    <w:rsid w:val="00FA5553"/>
    <w:rsid w:val="00FB3FF5"/>
    <w:rsid w:val="00FD7F6B"/>
    <w:rsid w:val="00FE6D33"/>
    <w:rsid w:val="00FF28E4"/>
    <w:rsid w:val="08906DD5"/>
    <w:rsid w:val="09986D7D"/>
    <w:rsid w:val="0A5E2E1D"/>
    <w:rsid w:val="0A5F7490"/>
    <w:rsid w:val="0A945314"/>
    <w:rsid w:val="0ACD57CF"/>
    <w:rsid w:val="0E9B702B"/>
    <w:rsid w:val="12173471"/>
    <w:rsid w:val="129FEE03"/>
    <w:rsid w:val="13D11C51"/>
    <w:rsid w:val="16650C1D"/>
    <w:rsid w:val="171D42EA"/>
    <w:rsid w:val="1898709E"/>
    <w:rsid w:val="19584922"/>
    <w:rsid w:val="1AF349E7"/>
    <w:rsid w:val="1B211232"/>
    <w:rsid w:val="1C17452F"/>
    <w:rsid w:val="1FF003FB"/>
    <w:rsid w:val="22083071"/>
    <w:rsid w:val="239F1F9A"/>
    <w:rsid w:val="26076C41"/>
    <w:rsid w:val="26832E13"/>
    <w:rsid w:val="2AE9594F"/>
    <w:rsid w:val="2CC20FFE"/>
    <w:rsid w:val="33E110A1"/>
    <w:rsid w:val="34584414"/>
    <w:rsid w:val="356E2DDF"/>
    <w:rsid w:val="36376961"/>
    <w:rsid w:val="36580337"/>
    <w:rsid w:val="366A181A"/>
    <w:rsid w:val="37FEF1C6"/>
    <w:rsid w:val="382F4C15"/>
    <w:rsid w:val="3D38346B"/>
    <w:rsid w:val="3DCF50C6"/>
    <w:rsid w:val="3DEA6553"/>
    <w:rsid w:val="3E5F64E5"/>
    <w:rsid w:val="3EB8276A"/>
    <w:rsid w:val="3F34F2B4"/>
    <w:rsid w:val="3FD2405B"/>
    <w:rsid w:val="402F115A"/>
    <w:rsid w:val="431A6985"/>
    <w:rsid w:val="448B772E"/>
    <w:rsid w:val="44E03CCC"/>
    <w:rsid w:val="46051DD7"/>
    <w:rsid w:val="47A376EC"/>
    <w:rsid w:val="47E401C9"/>
    <w:rsid w:val="48421C59"/>
    <w:rsid w:val="48BF2C67"/>
    <w:rsid w:val="4AE3374B"/>
    <w:rsid w:val="4B8F46B8"/>
    <w:rsid w:val="4C9D36AF"/>
    <w:rsid w:val="52E560B6"/>
    <w:rsid w:val="564B3FF8"/>
    <w:rsid w:val="56A207C7"/>
    <w:rsid w:val="5A8A4243"/>
    <w:rsid w:val="5D221646"/>
    <w:rsid w:val="5D672461"/>
    <w:rsid w:val="5E6F2F2F"/>
    <w:rsid w:val="5ED535EF"/>
    <w:rsid w:val="5FA7456E"/>
    <w:rsid w:val="5FF06D7A"/>
    <w:rsid w:val="60984DC8"/>
    <w:rsid w:val="64B7184A"/>
    <w:rsid w:val="65406092"/>
    <w:rsid w:val="66AF40FC"/>
    <w:rsid w:val="67A806B0"/>
    <w:rsid w:val="67FD018E"/>
    <w:rsid w:val="6841303B"/>
    <w:rsid w:val="698E6FEB"/>
    <w:rsid w:val="699B8049"/>
    <w:rsid w:val="6B1A7677"/>
    <w:rsid w:val="6C532714"/>
    <w:rsid w:val="6CDA298F"/>
    <w:rsid w:val="6D5C4FC3"/>
    <w:rsid w:val="6EEDDDF1"/>
    <w:rsid w:val="70982024"/>
    <w:rsid w:val="716C0BBE"/>
    <w:rsid w:val="71777AD2"/>
    <w:rsid w:val="71F9F726"/>
    <w:rsid w:val="73D60F1D"/>
    <w:rsid w:val="747E6B03"/>
    <w:rsid w:val="76FF7E3D"/>
    <w:rsid w:val="77EC3936"/>
    <w:rsid w:val="77FD3550"/>
    <w:rsid w:val="7A0942A2"/>
    <w:rsid w:val="7ABF1E7F"/>
    <w:rsid w:val="7B1A4439"/>
    <w:rsid w:val="7BD523D5"/>
    <w:rsid w:val="7DBF4818"/>
    <w:rsid w:val="7DFAE888"/>
    <w:rsid w:val="7E6BC782"/>
    <w:rsid w:val="7EEF064E"/>
    <w:rsid w:val="7F776059"/>
    <w:rsid w:val="7F7B2A2D"/>
    <w:rsid w:val="7F7D81C0"/>
    <w:rsid w:val="7F7FF3E5"/>
    <w:rsid w:val="7FCF9941"/>
    <w:rsid w:val="7FD7FC94"/>
    <w:rsid w:val="876D87DC"/>
    <w:rsid w:val="A39DD105"/>
    <w:rsid w:val="ADBFD92B"/>
    <w:rsid w:val="B7BD2922"/>
    <w:rsid w:val="D59F60E5"/>
    <w:rsid w:val="D7BF32D3"/>
    <w:rsid w:val="FBFB95E1"/>
    <w:rsid w:val="FD5BC5C8"/>
    <w:rsid w:val="FDBE0B8F"/>
    <w:rsid w:val="FF771375"/>
    <w:rsid w:val="FFFF1311"/>
    <w:rsid w:val="FFFF7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qFormat="1" w:unhideWhenUsed="0" w:uiPriority="0" w:semiHidden="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qFormat="1" w:unhideWhenUsed="0" w:uiPriority="0" w:semiHidden="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2"/>
    <w:qFormat/>
    <w:uiPriority w:val="0"/>
    <w:pPr>
      <w:jc w:val="left"/>
    </w:pPr>
  </w:style>
  <w:style w:type="paragraph" w:styleId="3">
    <w:name w:val="Salutation"/>
    <w:basedOn w:val="1"/>
    <w:next w:val="1"/>
    <w:link w:val="17"/>
    <w:qFormat/>
    <w:uiPriority w:val="0"/>
    <w:rPr>
      <w:rFonts w:ascii="Times New Roman" w:hAnsi="Times New Roman"/>
      <w:sz w:val="32"/>
      <w:szCs w:val="20"/>
    </w:rPr>
  </w:style>
  <w:style w:type="paragraph" w:styleId="4">
    <w:name w:val="Closing"/>
    <w:basedOn w:val="1"/>
    <w:next w:val="1"/>
    <w:link w:val="16"/>
    <w:qFormat/>
    <w:uiPriority w:val="0"/>
    <w:pPr>
      <w:ind w:left="4320"/>
    </w:pPr>
    <w:rPr>
      <w:rFonts w:ascii="Times New Roman" w:hAnsi="Times New Roman"/>
      <w:sz w:val="32"/>
      <w:szCs w:val="20"/>
    </w:rPr>
  </w:style>
  <w:style w:type="paragraph" w:styleId="5">
    <w:name w:val="Body Text Indent"/>
    <w:basedOn w:val="1"/>
    <w:link w:val="21"/>
    <w:qFormat/>
    <w:uiPriority w:val="0"/>
    <w:pPr>
      <w:spacing w:after="120"/>
      <w:ind w:left="420" w:leftChars="200"/>
    </w:pPr>
  </w:style>
  <w:style w:type="paragraph" w:styleId="6">
    <w:name w:val="Plain Text"/>
    <w:basedOn w:val="1"/>
    <w:link w:val="20"/>
    <w:qFormat/>
    <w:uiPriority w:val="0"/>
    <w:rPr>
      <w:rFonts w:ascii="宋体" w:hAnsi="Courier New"/>
      <w:szCs w:val="20"/>
    </w:rPr>
  </w:style>
  <w:style w:type="paragraph" w:styleId="7">
    <w:name w:val="Balloon Text"/>
    <w:basedOn w:val="1"/>
    <w:link w:val="26"/>
    <w:semiHidden/>
    <w:unhideWhenUsed/>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Body Text Indent 3"/>
    <w:basedOn w:val="1"/>
    <w:link w:val="19"/>
    <w:qFormat/>
    <w:uiPriority w:val="0"/>
    <w:pPr>
      <w:spacing w:after="120" w:line="460" w:lineRule="exact"/>
      <w:ind w:left="1080"/>
    </w:pPr>
    <w:rPr>
      <w:rFonts w:ascii="仿宋_GB2312" w:hAnsi="Times New Roman" w:eastAsia="仿宋_GB2312"/>
      <w:sz w:val="24"/>
      <w:szCs w:val="20"/>
    </w:rPr>
  </w:style>
  <w:style w:type="paragraph" w:styleId="11">
    <w:name w:val="annotation subject"/>
    <w:basedOn w:val="2"/>
    <w:next w:val="2"/>
    <w:link w:val="23"/>
    <w:semiHidden/>
    <w:unhideWhenUsed/>
    <w:qFormat/>
    <w:uiPriority w:val="0"/>
    <w:rPr>
      <w:b/>
      <w:bCs/>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qFormat/>
    <w:uiPriority w:val="0"/>
    <w:rPr>
      <w:sz w:val="21"/>
      <w:szCs w:val="21"/>
    </w:rPr>
  </w:style>
  <w:style w:type="character" w:customStyle="1" w:styleId="16">
    <w:name w:val="结束语 字符"/>
    <w:basedOn w:val="14"/>
    <w:link w:val="4"/>
    <w:qFormat/>
    <w:uiPriority w:val="0"/>
    <w:rPr>
      <w:rFonts w:ascii="Times New Roman" w:hAnsi="Times New Roman"/>
      <w:kern w:val="2"/>
      <w:sz w:val="32"/>
    </w:rPr>
  </w:style>
  <w:style w:type="character" w:customStyle="1" w:styleId="17">
    <w:name w:val="称呼 字符"/>
    <w:basedOn w:val="14"/>
    <w:link w:val="3"/>
    <w:qFormat/>
    <w:uiPriority w:val="0"/>
    <w:rPr>
      <w:rFonts w:ascii="Times New Roman" w:hAnsi="Times New Roman"/>
      <w:kern w:val="2"/>
      <w:sz w:val="32"/>
    </w:rPr>
  </w:style>
  <w:style w:type="paragraph" w:styleId="18">
    <w:name w:val="List Paragraph"/>
    <w:basedOn w:val="1"/>
    <w:qFormat/>
    <w:uiPriority w:val="99"/>
    <w:pPr>
      <w:ind w:firstLine="420" w:firstLineChars="200"/>
    </w:pPr>
    <w:rPr>
      <w:rFonts w:asciiTheme="minorHAnsi" w:hAnsiTheme="minorHAnsi" w:eastAsiaTheme="minorEastAsia" w:cstheme="minorBidi"/>
    </w:rPr>
  </w:style>
  <w:style w:type="character" w:customStyle="1" w:styleId="19">
    <w:name w:val="正文文本缩进 3 字符"/>
    <w:basedOn w:val="14"/>
    <w:link w:val="10"/>
    <w:qFormat/>
    <w:uiPriority w:val="0"/>
    <w:rPr>
      <w:rFonts w:ascii="仿宋_GB2312" w:hAnsi="Times New Roman" w:eastAsia="仿宋_GB2312"/>
      <w:kern w:val="2"/>
      <w:sz w:val="24"/>
    </w:rPr>
  </w:style>
  <w:style w:type="character" w:customStyle="1" w:styleId="20">
    <w:name w:val="纯文本 字符"/>
    <w:basedOn w:val="14"/>
    <w:link w:val="6"/>
    <w:qFormat/>
    <w:uiPriority w:val="0"/>
    <w:rPr>
      <w:rFonts w:ascii="宋体" w:hAnsi="Courier New"/>
      <w:kern w:val="2"/>
      <w:sz w:val="21"/>
    </w:rPr>
  </w:style>
  <w:style w:type="character" w:customStyle="1" w:styleId="21">
    <w:name w:val="正文文本缩进 字符"/>
    <w:basedOn w:val="14"/>
    <w:link w:val="5"/>
    <w:qFormat/>
    <w:uiPriority w:val="0"/>
    <w:rPr>
      <w:kern w:val="2"/>
      <w:sz w:val="21"/>
      <w:szCs w:val="24"/>
    </w:rPr>
  </w:style>
  <w:style w:type="character" w:customStyle="1" w:styleId="22">
    <w:name w:val="批注文字 字符"/>
    <w:basedOn w:val="14"/>
    <w:link w:val="2"/>
    <w:qFormat/>
    <w:uiPriority w:val="0"/>
    <w:rPr>
      <w:kern w:val="2"/>
      <w:sz w:val="21"/>
      <w:szCs w:val="24"/>
    </w:rPr>
  </w:style>
  <w:style w:type="character" w:customStyle="1" w:styleId="23">
    <w:name w:val="批注主题 字符"/>
    <w:basedOn w:val="22"/>
    <w:link w:val="11"/>
    <w:semiHidden/>
    <w:qFormat/>
    <w:uiPriority w:val="0"/>
    <w:rPr>
      <w:b/>
      <w:bCs/>
      <w:kern w:val="2"/>
      <w:sz w:val="21"/>
      <w:szCs w:val="24"/>
    </w:rPr>
  </w:style>
  <w:style w:type="paragraph" w:customStyle="1" w:styleId="24">
    <w:name w:val="修订1"/>
    <w:hidden/>
    <w:semiHidden/>
    <w:qFormat/>
    <w:uiPriority w:val="99"/>
    <w:rPr>
      <w:rFonts w:ascii="Calibri" w:hAnsi="Calibri" w:eastAsia="宋体" w:cs="Times New Roman"/>
      <w:kern w:val="2"/>
      <w:sz w:val="21"/>
      <w:szCs w:val="24"/>
      <w:lang w:val="en-US" w:eastAsia="zh-CN" w:bidi="ar-SA"/>
    </w:rPr>
  </w:style>
  <w:style w:type="paragraph" w:customStyle="1" w:styleId="25">
    <w:name w:val="修订2"/>
    <w:hidden/>
    <w:semiHidden/>
    <w:qFormat/>
    <w:uiPriority w:val="99"/>
    <w:rPr>
      <w:rFonts w:ascii="Calibri" w:hAnsi="Calibri" w:eastAsia="宋体" w:cs="Times New Roman"/>
      <w:kern w:val="2"/>
      <w:sz w:val="21"/>
      <w:szCs w:val="24"/>
      <w:lang w:val="en-US" w:eastAsia="zh-CN" w:bidi="ar-SA"/>
    </w:rPr>
  </w:style>
  <w:style w:type="character" w:customStyle="1" w:styleId="26">
    <w:name w:val="批注框文本 字符"/>
    <w:basedOn w:val="14"/>
    <w:link w:val="7"/>
    <w:semiHidden/>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Users/huangsong21/Library/Containers/com.kingsoft.wpsoffice.mac/Data/C:\Users\ttwoo\Desktop\&#37329;&#35802;&#21516;&#36798;\&#21697;&#23459;&#36164;&#26009;\&#20013;&#25991;&#31446;&#29256;-&#24191;&#2403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中文竖版-广州</Template>
  <Company>Microsoft</Company>
  <Pages>8</Pages>
  <Words>647</Words>
  <Characters>3693</Characters>
  <Lines>30</Lines>
  <Paragraphs>8</Paragraphs>
  <TotalTime>1</TotalTime>
  <ScaleCrop>false</ScaleCrop>
  <LinksUpToDate>false</LinksUpToDate>
  <CharactersWithSpaces>4332</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2022-01-20T11:15:00Z</dcterms:created>
  <dc:creator>ttwoo</dc:creator>
  <cp:lastModifiedBy>Lawyer</cp:lastModifiedBy>
  <cp:lastPrinted>2021-04-17T15:03:00Z</cp:lastPrinted>
  <dcterms:modified xsi:type="dcterms:W3CDTF">2026-04-06T10:44:43Z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D7A845D7F093EE4EC82BD1674B9529C2_43</vt:lpwstr>
  </property>
</Properties>
</file>