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34F8" w14:textId="0F1B500D" w:rsidR="006F71B9" w:rsidRPr="008621DC" w:rsidRDefault="006F71B9" w:rsidP="006F71B9">
      <w:pPr>
        <w:rPr>
          <w:i/>
          <w:color w:val="FF0000"/>
        </w:rPr>
      </w:pPr>
      <w:r w:rsidRPr="008621DC">
        <w:rPr>
          <w:b/>
          <w:bCs/>
        </w:rPr>
        <w:t xml:space="preserve">Detecting Ischaemia in Adhesional Small Bowel Obstruction: Predictive value of Platelet-Lymphocyte Ratio and Neutrophil-Lymphocyte Ratio </w:t>
      </w:r>
    </w:p>
    <w:p w14:paraId="074BD461" w14:textId="77777777" w:rsidR="006F71B9" w:rsidRPr="008621DC" w:rsidRDefault="006F71B9" w:rsidP="006F71B9">
      <w:pPr>
        <w:jc w:val="center"/>
        <w:rPr>
          <w:b/>
        </w:rPr>
      </w:pPr>
    </w:p>
    <w:p w14:paraId="031F4F41" w14:textId="77777777" w:rsidR="006F71B9" w:rsidRPr="008621DC" w:rsidRDefault="006F71B9" w:rsidP="006F71B9">
      <w:pPr>
        <w:jc w:val="center"/>
        <w:rPr>
          <w:b/>
          <w:bCs/>
          <w:iCs/>
          <w:color w:val="000000" w:themeColor="text1"/>
        </w:rPr>
      </w:pPr>
    </w:p>
    <w:p w14:paraId="63302510" w14:textId="77777777" w:rsidR="006F71B9" w:rsidRPr="008621DC" w:rsidRDefault="006F71B9" w:rsidP="006F71B9">
      <w:pPr>
        <w:pStyle w:val="Body"/>
        <w:rPr>
          <w:rFonts w:ascii="Times New Roman" w:hAnsi="Times New Roman" w:cs="Times New Roman"/>
          <w:lang w:val="en-AU"/>
        </w:rPr>
      </w:pPr>
      <w:r w:rsidRPr="008621DC">
        <w:rPr>
          <w:rFonts w:ascii="Times New Roman" w:hAnsi="Times New Roman" w:cs="Times New Roman"/>
          <w:lang w:val="en-AU"/>
        </w:rPr>
        <w:t>E Woodford</w:t>
      </w:r>
      <w:r w:rsidRPr="008621DC">
        <w:rPr>
          <w:rFonts w:ascii="Times New Roman" w:hAnsi="Times New Roman" w:cs="Times New Roman"/>
          <w:vertAlign w:val="superscript"/>
          <w:lang w:val="en-AU"/>
        </w:rPr>
        <w:t>1</w:t>
      </w:r>
      <w:r w:rsidRPr="008621DC">
        <w:rPr>
          <w:rFonts w:ascii="Times New Roman" w:hAnsi="Times New Roman" w:cs="Times New Roman"/>
          <w:lang w:val="en-AU"/>
        </w:rPr>
        <w:t>, H M Woodford</w:t>
      </w:r>
      <w:r w:rsidRPr="008621DC">
        <w:rPr>
          <w:rFonts w:ascii="Times New Roman" w:hAnsi="Times New Roman" w:cs="Times New Roman"/>
          <w:vertAlign w:val="superscript"/>
          <w:lang w:val="en-AU"/>
        </w:rPr>
        <w:t>2</w:t>
      </w:r>
      <w:r w:rsidRPr="008621DC">
        <w:rPr>
          <w:rFonts w:ascii="Times New Roman" w:hAnsi="Times New Roman" w:cs="Times New Roman"/>
          <w:lang w:val="en-AU"/>
        </w:rPr>
        <w:t>, A R Hort</w:t>
      </w:r>
      <w:r w:rsidRPr="008621DC">
        <w:rPr>
          <w:rFonts w:ascii="Times New Roman" w:hAnsi="Times New Roman" w:cs="Times New Roman"/>
          <w:vertAlign w:val="superscript"/>
          <w:lang w:val="en-AU"/>
        </w:rPr>
        <w:t>1 3</w:t>
      </w:r>
      <w:r w:rsidRPr="008621DC">
        <w:rPr>
          <w:rFonts w:ascii="Times New Roman" w:hAnsi="Times New Roman" w:cs="Times New Roman"/>
          <w:lang w:val="en-AU"/>
        </w:rPr>
        <w:t>, T Pang</w:t>
      </w:r>
      <w:r w:rsidRPr="008621DC">
        <w:rPr>
          <w:rFonts w:ascii="Times New Roman" w:hAnsi="Times New Roman" w:cs="Times New Roman"/>
          <w:vertAlign w:val="superscript"/>
          <w:lang w:val="en-AU"/>
        </w:rPr>
        <w:t>1 3 4</w:t>
      </w:r>
      <w:r w:rsidRPr="008621DC">
        <w:rPr>
          <w:rFonts w:ascii="Times New Roman" w:hAnsi="Times New Roman" w:cs="Times New Roman"/>
          <w:lang w:val="en-AU"/>
        </w:rPr>
        <w:t>, V Lam</w:t>
      </w:r>
      <w:r w:rsidRPr="008621DC">
        <w:rPr>
          <w:rFonts w:ascii="Times New Roman" w:hAnsi="Times New Roman" w:cs="Times New Roman"/>
          <w:vertAlign w:val="superscript"/>
          <w:lang w:val="en-AU"/>
        </w:rPr>
        <w:t>1 4</w:t>
      </w:r>
      <w:r w:rsidRPr="008621DC">
        <w:rPr>
          <w:rFonts w:ascii="Times New Roman" w:hAnsi="Times New Roman" w:cs="Times New Roman"/>
          <w:lang w:val="en-AU"/>
        </w:rPr>
        <w:t xml:space="preserve"> &amp; C Nahm</w:t>
      </w:r>
      <w:r w:rsidRPr="008621DC">
        <w:rPr>
          <w:rFonts w:ascii="Times New Roman" w:hAnsi="Times New Roman" w:cs="Times New Roman"/>
          <w:vertAlign w:val="superscript"/>
          <w:lang w:val="en-AU"/>
        </w:rPr>
        <w:t>1 3 4</w:t>
      </w:r>
    </w:p>
    <w:p w14:paraId="490AB659" w14:textId="77777777" w:rsidR="006F71B9" w:rsidRPr="008621DC" w:rsidRDefault="006F71B9" w:rsidP="006F71B9">
      <w:pPr>
        <w:pStyle w:val="Body"/>
        <w:ind w:left="720"/>
        <w:rPr>
          <w:rFonts w:ascii="Times New Roman" w:hAnsi="Times New Roman" w:cs="Times New Roman"/>
          <w:lang w:val="en-AU"/>
        </w:rPr>
      </w:pPr>
    </w:p>
    <w:p w14:paraId="3B025584" w14:textId="77777777" w:rsidR="006F71B9" w:rsidRPr="008621DC" w:rsidRDefault="006F71B9" w:rsidP="006F71B9">
      <w:pPr>
        <w:pStyle w:val="Body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8621DC">
        <w:rPr>
          <w:rFonts w:ascii="Times New Roman" w:hAnsi="Times New Roman" w:cs="Times New Roman"/>
          <w:lang w:val="en-AU"/>
        </w:rPr>
        <w:t>Acute Surgical Unit, Westmead Hospital, Sydney, Australia</w:t>
      </w:r>
    </w:p>
    <w:p w14:paraId="639772FB" w14:textId="77777777" w:rsidR="006F71B9" w:rsidRPr="008621DC" w:rsidRDefault="006F71B9" w:rsidP="006F71B9">
      <w:pPr>
        <w:pStyle w:val="Body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8621DC">
        <w:rPr>
          <w:rFonts w:ascii="Times New Roman" w:hAnsi="Times New Roman" w:cs="Times New Roman"/>
          <w:lang w:val="en-AU"/>
        </w:rPr>
        <w:t>Department of Radiology, John Hunter Hospital, Newcastle, Australia</w:t>
      </w:r>
    </w:p>
    <w:p w14:paraId="07EC0D5E" w14:textId="77777777" w:rsidR="008621DC" w:rsidRPr="008621DC" w:rsidRDefault="006F71B9" w:rsidP="006F71B9">
      <w:pPr>
        <w:pStyle w:val="Body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8621DC">
        <w:rPr>
          <w:rFonts w:ascii="Times New Roman" w:hAnsi="Times New Roman" w:cs="Times New Roman"/>
          <w:lang w:val="en-AU"/>
        </w:rPr>
        <w:t>Western Clinical School, Faculty of Medicine and Health, University of Sydney, Australia</w:t>
      </w:r>
    </w:p>
    <w:p w14:paraId="0BA08195" w14:textId="758845D6" w:rsidR="003032CA" w:rsidRPr="008621DC" w:rsidRDefault="006F71B9" w:rsidP="006F71B9">
      <w:pPr>
        <w:pStyle w:val="Body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8621DC">
        <w:rPr>
          <w:rFonts w:ascii="Times New Roman" w:hAnsi="Times New Roman" w:cs="Times New Roman"/>
        </w:rPr>
        <w:t>Surgical Innovations Unit, Westmead Hospital, Sydney, Australia</w:t>
      </w:r>
    </w:p>
    <w:p w14:paraId="1686CB5E" w14:textId="4C34A027" w:rsidR="006F71B9" w:rsidRPr="008621DC" w:rsidRDefault="006F71B9" w:rsidP="006F71B9"/>
    <w:p w14:paraId="056B4666" w14:textId="77777777" w:rsidR="006F71B9" w:rsidRPr="008621DC" w:rsidRDefault="006F71B9" w:rsidP="006F71B9">
      <w:pPr>
        <w:rPr>
          <w:i/>
          <w:iCs/>
        </w:rPr>
      </w:pPr>
      <w:r w:rsidRPr="008621DC">
        <w:rPr>
          <w:i/>
          <w:iCs/>
        </w:rPr>
        <w:t>Purpose</w:t>
      </w:r>
    </w:p>
    <w:p w14:paraId="7F78632F" w14:textId="4A3B3EB0" w:rsidR="006F71B9" w:rsidRPr="008621DC" w:rsidRDefault="00B21F0E" w:rsidP="006F71B9">
      <w:pPr>
        <w:jc w:val="both"/>
      </w:pPr>
      <w:r>
        <w:t>Currently used biomarkers have poor capacity for predicting bowel ischaemia in patients with adhesional small bowel obstruction (SBO)</w:t>
      </w:r>
      <w:r w:rsidR="006F71B9" w:rsidRPr="008621DC">
        <w:t xml:space="preserve">. Prior studies have demonstrated some utility of platelet-lymphocyte ratio (PLR) and neutrophil-lymphocyte ratio (NLR) in detection of </w:t>
      </w:r>
      <w:r>
        <w:t xml:space="preserve">visceral </w:t>
      </w:r>
      <w:r w:rsidR="006F71B9" w:rsidRPr="008621DC">
        <w:t xml:space="preserve">ischaemia. Our study investigated whether PLR and NLR could predict bowel ischaemia in </w:t>
      </w:r>
      <w:r>
        <w:t>adhesional</w:t>
      </w:r>
      <w:r w:rsidRPr="008621DC">
        <w:t xml:space="preserve"> </w:t>
      </w:r>
      <w:r w:rsidR="006F71B9" w:rsidRPr="008621DC">
        <w:t>SBO.</w:t>
      </w:r>
    </w:p>
    <w:p w14:paraId="488201C0" w14:textId="77777777" w:rsidR="006F71B9" w:rsidRPr="008621DC" w:rsidRDefault="006F71B9" w:rsidP="006F71B9">
      <w:pPr>
        <w:jc w:val="both"/>
      </w:pPr>
    </w:p>
    <w:p w14:paraId="3E8A105F" w14:textId="77777777" w:rsidR="006F71B9" w:rsidRPr="008621DC" w:rsidRDefault="006F71B9" w:rsidP="006F71B9">
      <w:pPr>
        <w:rPr>
          <w:i/>
          <w:iCs/>
        </w:rPr>
      </w:pPr>
      <w:r w:rsidRPr="008621DC">
        <w:rPr>
          <w:i/>
          <w:iCs/>
        </w:rPr>
        <w:t>Methods</w:t>
      </w:r>
    </w:p>
    <w:p w14:paraId="51A2DC62" w14:textId="0BBA1952" w:rsidR="006F71B9" w:rsidRPr="008621DC" w:rsidRDefault="006F71B9" w:rsidP="006F71B9">
      <w:pPr>
        <w:pStyle w:val="Body"/>
        <w:spacing w:after="16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8621DC">
        <w:rPr>
          <w:rFonts w:ascii="Times New Roman" w:hAnsi="Times New Roman" w:cs="Times New Roman"/>
          <w:sz w:val="24"/>
          <w:szCs w:val="24"/>
          <w:lang w:val="en-AU"/>
        </w:rPr>
        <w:t>This single-centre retrospective study collected data from</w:t>
      </w:r>
      <w:r w:rsidR="00961AA9">
        <w:rPr>
          <w:rFonts w:ascii="Times New Roman" w:hAnsi="Times New Roman" w:cs="Times New Roman"/>
          <w:sz w:val="24"/>
          <w:szCs w:val="24"/>
          <w:lang w:val="en-AU"/>
        </w:rPr>
        <w:t xml:space="preserve"> consecutive</w:t>
      </w:r>
      <w:r w:rsidRPr="008621DC">
        <w:rPr>
          <w:rFonts w:ascii="Times New Roman" w:hAnsi="Times New Roman" w:cs="Times New Roman"/>
          <w:sz w:val="24"/>
          <w:szCs w:val="24"/>
          <w:lang w:val="en-AU"/>
        </w:rPr>
        <w:t xml:space="preserve"> patients with adhesional SBO between 2017-2020 who underwent operative management. The presence or absence of bowel ischaemia was used to separate patients into two groups. </w:t>
      </w:r>
      <w:r w:rsidR="00B21F0E">
        <w:rPr>
          <w:rFonts w:ascii="Times New Roman" w:hAnsi="Times New Roman" w:cs="Times New Roman"/>
          <w:sz w:val="24"/>
          <w:szCs w:val="24"/>
          <w:lang w:val="en-AU"/>
        </w:rPr>
        <w:t xml:space="preserve">Data regarding </w:t>
      </w:r>
      <w:r w:rsidR="00B21F0E">
        <w:rPr>
          <w:rFonts w:ascii="Times New Roman" w:hAnsi="Times New Roman" w:cs="Times New Roman"/>
          <w:sz w:val="24"/>
          <w:szCs w:val="24"/>
        </w:rPr>
        <w:t>PLR and NLR were obtained</w:t>
      </w:r>
      <w:r w:rsidRPr="008621DC">
        <w:rPr>
          <w:rFonts w:ascii="Times New Roman" w:hAnsi="Times New Roman" w:cs="Times New Roman"/>
          <w:sz w:val="24"/>
          <w:szCs w:val="24"/>
        </w:rPr>
        <w:t xml:space="preserve"> </w:t>
      </w:r>
      <w:r w:rsidR="00B21F0E">
        <w:rPr>
          <w:rFonts w:ascii="Times New Roman" w:hAnsi="Times New Roman" w:cs="Times New Roman"/>
          <w:sz w:val="24"/>
          <w:szCs w:val="24"/>
        </w:rPr>
        <w:t>from time of</w:t>
      </w:r>
      <w:r w:rsidRPr="008621DC">
        <w:rPr>
          <w:rFonts w:ascii="Times New Roman" w:hAnsi="Times New Roman" w:cs="Times New Roman"/>
          <w:sz w:val="24"/>
          <w:szCs w:val="24"/>
        </w:rPr>
        <w:t xml:space="preserve"> admission</w:t>
      </w:r>
      <w:r w:rsidR="00B21F0E">
        <w:rPr>
          <w:rFonts w:ascii="Times New Roman" w:hAnsi="Times New Roman" w:cs="Times New Roman"/>
          <w:sz w:val="24"/>
          <w:szCs w:val="24"/>
        </w:rPr>
        <w:t xml:space="preserve"> (PLR</w:t>
      </w:r>
      <w:r w:rsidR="00B21F0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21F0E">
        <w:rPr>
          <w:rFonts w:ascii="Times New Roman" w:hAnsi="Times New Roman" w:cs="Times New Roman"/>
          <w:sz w:val="24"/>
          <w:szCs w:val="24"/>
        </w:rPr>
        <w:t xml:space="preserve"> and NLR</w:t>
      </w:r>
      <w:r w:rsidR="00B21F0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21F0E">
        <w:rPr>
          <w:rFonts w:ascii="Times New Roman" w:hAnsi="Times New Roman" w:cs="Times New Roman"/>
          <w:sz w:val="24"/>
          <w:szCs w:val="24"/>
        </w:rPr>
        <w:t>)</w:t>
      </w:r>
      <w:r w:rsidRPr="008621DC">
        <w:rPr>
          <w:rFonts w:ascii="Times New Roman" w:hAnsi="Times New Roman" w:cs="Times New Roman"/>
          <w:sz w:val="24"/>
          <w:szCs w:val="24"/>
        </w:rPr>
        <w:t xml:space="preserve"> and immediately prior to operation</w:t>
      </w:r>
      <w:r w:rsidR="00B21F0E">
        <w:rPr>
          <w:rFonts w:ascii="Times New Roman" w:hAnsi="Times New Roman" w:cs="Times New Roman"/>
          <w:sz w:val="24"/>
          <w:szCs w:val="24"/>
        </w:rPr>
        <w:t xml:space="preserve"> (PLR</w:t>
      </w:r>
      <w:r w:rsidR="00B21F0E">
        <w:rPr>
          <w:rFonts w:ascii="Times New Roman" w:hAnsi="Times New Roman" w:cs="Times New Roman"/>
          <w:sz w:val="24"/>
          <w:szCs w:val="24"/>
          <w:vertAlign w:val="subscript"/>
        </w:rPr>
        <w:t>PRE-OP</w:t>
      </w:r>
      <w:r w:rsidR="00B21F0E">
        <w:rPr>
          <w:rFonts w:ascii="Times New Roman" w:hAnsi="Times New Roman" w:cs="Times New Roman"/>
          <w:sz w:val="24"/>
          <w:szCs w:val="24"/>
        </w:rPr>
        <w:t xml:space="preserve"> and NLR</w:t>
      </w:r>
      <w:r w:rsidR="00B21F0E">
        <w:rPr>
          <w:rFonts w:ascii="Times New Roman" w:hAnsi="Times New Roman" w:cs="Times New Roman"/>
          <w:sz w:val="24"/>
          <w:szCs w:val="24"/>
          <w:vertAlign w:val="subscript"/>
        </w:rPr>
        <w:t>PRE-OP</w:t>
      </w:r>
      <w:r w:rsidR="00B21F0E">
        <w:rPr>
          <w:rFonts w:ascii="Times New Roman" w:hAnsi="Times New Roman" w:cs="Times New Roman"/>
          <w:sz w:val="24"/>
          <w:szCs w:val="24"/>
        </w:rPr>
        <w:t xml:space="preserve">). </w:t>
      </w:r>
      <w:r w:rsidR="00961AA9">
        <w:rPr>
          <w:rFonts w:ascii="Times New Roman" w:hAnsi="Times New Roman" w:cs="Times New Roman"/>
          <w:sz w:val="24"/>
          <w:szCs w:val="24"/>
        </w:rPr>
        <w:t xml:space="preserve">Data regarding CT and operative diagnosis of bowel ischaemia were also collected. </w:t>
      </w:r>
    </w:p>
    <w:p w14:paraId="6FED8D91" w14:textId="77777777" w:rsidR="006F71B9" w:rsidRPr="008621DC" w:rsidRDefault="006F71B9" w:rsidP="006F71B9">
      <w:pPr>
        <w:rPr>
          <w:i/>
          <w:iCs/>
        </w:rPr>
      </w:pPr>
      <w:r w:rsidRPr="008621DC">
        <w:rPr>
          <w:i/>
          <w:iCs/>
        </w:rPr>
        <w:t>Results</w:t>
      </w:r>
    </w:p>
    <w:p w14:paraId="075CD815" w14:textId="0EB34C02" w:rsidR="006F71B9" w:rsidRPr="008621DC" w:rsidRDefault="00961AA9" w:rsidP="006F71B9">
      <w:pPr>
        <w:rPr>
          <w:bCs/>
        </w:rPr>
      </w:pPr>
      <w:r>
        <w:rPr>
          <w:bCs/>
        </w:rPr>
        <w:t xml:space="preserve">100 patients fulfilled inclusion criteria. </w:t>
      </w:r>
      <w:r w:rsidR="006F71B9" w:rsidRPr="008621DC">
        <w:rPr>
          <w:bCs/>
        </w:rPr>
        <w:t>Twenty-seven</w:t>
      </w:r>
      <w:r>
        <w:rPr>
          <w:bCs/>
        </w:rPr>
        <w:t xml:space="preserve"> (27%)</w:t>
      </w:r>
      <w:r w:rsidR="006F71B9" w:rsidRPr="008621DC">
        <w:rPr>
          <w:bCs/>
        </w:rPr>
        <w:t xml:space="preserve"> patients had bowel ischaemia at time of operation. </w:t>
      </w:r>
      <w:r>
        <w:rPr>
          <w:bCs/>
        </w:rPr>
        <w:t>M</w:t>
      </w:r>
      <w:r w:rsidR="006F71B9" w:rsidRPr="008621DC">
        <w:rPr>
          <w:bCs/>
        </w:rPr>
        <w:t>edian PLR</w:t>
      </w:r>
      <w:r w:rsidR="006F71B9" w:rsidRPr="008621DC">
        <w:rPr>
          <w:bCs/>
          <w:vertAlign w:val="subscript"/>
        </w:rPr>
        <w:t>PRE-OP</w:t>
      </w:r>
      <w:r w:rsidR="006F71B9" w:rsidRPr="008621DC">
        <w:rPr>
          <w:bCs/>
        </w:rPr>
        <w:t xml:space="preserve"> and NLR</w:t>
      </w:r>
      <w:r w:rsidR="006F71B9" w:rsidRPr="008621DC">
        <w:rPr>
          <w:bCs/>
          <w:vertAlign w:val="subscript"/>
        </w:rPr>
        <w:t xml:space="preserve">PRE-OP </w:t>
      </w:r>
      <w:r w:rsidR="006F71B9" w:rsidRPr="008621DC">
        <w:rPr>
          <w:bCs/>
        </w:rPr>
        <w:t>were significantly higher in patients with bowel ischaemia compared to those without (PLR</w:t>
      </w:r>
      <w:r w:rsidR="006F71B9" w:rsidRPr="008621DC">
        <w:rPr>
          <w:bCs/>
          <w:vertAlign w:val="subscript"/>
        </w:rPr>
        <w:t>PRE-OP</w:t>
      </w:r>
      <w:r w:rsidR="006F71B9" w:rsidRPr="008621DC">
        <w:rPr>
          <w:bCs/>
        </w:rPr>
        <w:t xml:space="preserve"> 272 </w:t>
      </w:r>
      <w:r>
        <w:rPr>
          <w:bCs/>
        </w:rPr>
        <w:t>vs</w:t>
      </w:r>
      <w:r w:rsidR="006F71B9" w:rsidRPr="008621DC">
        <w:rPr>
          <w:bCs/>
        </w:rPr>
        <w:t xml:space="preserve"> 231, p=</w:t>
      </w:r>
      <w:proofErr w:type="gramStart"/>
      <w:r w:rsidR="006F71B9" w:rsidRPr="008621DC">
        <w:rPr>
          <w:bCs/>
        </w:rPr>
        <w:t>0.027;</w:t>
      </w:r>
      <w:proofErr w:type="gramEnd"/>
      <w:r w:rsidR="006F71B9" w:rsidRPr="008621DC">
        <w:rPr>
          <w:bCs/>
        </w:rPr>
        <w:t xml:space="preserve"> NLR</w:t>
      </w:r>
      <w:r w:rsidR="006F71B9" w:rsidRPr="008621DC">
        <w:rPr>
          <w:bCs/>
          <w:vertAlign w:val="subscript"/>
        </w:rPr>
        <w:t>PRE-OP</w:t>
      </w:r>
      <w:r w:rsidR="006F71B9" w:rsidRPr="008621DC">
        <w:rPr>
          <w:bCs/>
        </w:rPr>
        <w:t xml:space="preserve"> 12.5 v</w:t>
      </w:r>
      <w:r>
        <w:rPr>
          <w:bCs/>
        </w:rPr>
        <w:t>s</w:t>
      </w:r>
      <w:r w:rsidR="006F71B9" w:rsidRPr="008621DC">
        <w:rPr>
          <w:bCs/>
        </w:rPr>
        <w:t xml:space="preserve">. 5.5, p=&lt;0.001). </w:t>
      </w:r>
      <w:r w:rsidR="00792E02">
        <w:rPr>
          <w:bCs/>
        </w:rPr>
        <w:t xml:space="preserve">Of the reviewed biomarkers, </w:t>
      </w:r>
      <w:r>
        <w:rPr>
          <w:bCs/>
        </w:rPr>
        <w:t>NLR</w:t>
      </w:r>
      <w:r w:rsidR="00C07FE6">
        <w:rPr>
          <w:bCs/>
          <w:vertAlign w:val="subscript"/>
        </w:rPr>
        <w:t>PRE-OP</w:t>
      </w:r>
      <w:r w:rsidR="00C07FE6">
        <w:rPr>
          <w:bCs/>
        </w:rPr>
        <w:t xml:space="preserve"> had a </w:t>
      </w:r>
      <w:r w:rsidR="00792E02">
        <w:rPr>
          <w:bCs/>
        </w:rPr>
        <w:t xml:space="preserve">better </w:t>
      </w:r>
      <w:r w:rsidR="00C07FE6">
        <w:rPr>
          <w:bCs/>
        </w:rPr>
        <w:t>ability to predict bowel ischaemia with an a</w:t>
      </w:r>
      <w:r w:rsidR="006F71B9" w:rsidRPr="008621DC">
        <w:rPr>
          <w:bCs/>
        </w:rPr>
        <w:t xml:space="preserve">rea under the receiver operator characteristic curve (AUC) </w:t>
      </w:r>
      <w:r w:rsidR="00C07FE6">
        <w:rPr>
          <w:bCs/>
        </w:rPr>
        <w:t>of</w:t>
      </w:r>
      <w:r w:rsidR="00C07FE6" w:rsidRPr="008621DC">
        <w:rPr>
          <w:bCs/>
        </w:rPr>
        <w:t xml:space="preserve"> </w:t>
      </w:r>
      <w:r w:rsidR="006F71B9" w:rsidRPr="008621DC">
        <w:rPr>
          <w:bCs/>
        </w:rPr>
        <w:t>0.762</w:t>
      </w:r>
      <w:r w:rsidR="00792E02">
        <w:rPr>
          <w:bCs/>
        </w:rPr>
        <w:t xml:space="preserve">, with an optimal threshold cut-off of 7.4 giving a sensitivity of 85.1% and specificity of 63%. </w:t>
      </w:r>
      <w:r w:rsidR="007078C3">
        <w:rPr>
          <w:bCs/>
        </w:rPr>
        <w:t>Within our study, CT had a sensitivity of 87.7% and specificity of 37% for predicting bowel ischaemia.</w:t>
      </w:r>
    </w:p>
    <w:p w14:paraId="0FDA6065" w14:textId="77777777" w:rsidR="006F71B9" w:rsidRPr="008621DC" w:rsidRDefault="006F71B9" w:rsidP="006F71B9"/>
    <w:p w14:paraId="47B0B019" w14:textId="77777777" w:rsidR="006F71B9" w:rsidRPr="008621DC" w:rsidRDefault="006F71B9" w:rsidP="006F71B9">
      <w:pPr>
        <w:rPr>
          <w:i/>
          <w:iCs/>
        </w:rPr>
      </w:pPr>
      <w:r w:rsidRPr="008621DC">
        <w:rPr>
          <w:i/>
          <w:iCs/>
        </w:rPr>
        <w:t>Conclusion</w:t>
      </w:r>
    </w:p>
    <w:p w14:paraId="60608BC4" w14:textId="5B782AD1" w:rsidR="006F71B9" w:rsidRPr="008621DC" w:rsidRDefault="006F71B9" w:rsidP="006F71B9">
      <w:r w:rsidRPr="008621DC">
        <w:t xml:space="preserve">PLR and NLR </w:t>
      </w:r>
      <w:r w:rsidR="00C07FE6">
        <w:t>may be useful biomarkers for the detection of</w:t>
      </w:r>
      <w:r w:rsidR="00C07FE6" w:rsidRPr="008621DC">
        <w:t xml:space="preserve"> </w:t>
      </w:r>
      <w:r w:rsidRPr="008621DC">
        <w:t xml:space="preserve">bowel ischaemia in </w:t>
      </w:r>
      <w:r w:rsidR="00C07FE6">
        <w:t xml:space="preserve">patients with </w:t>
      </w:r>
      <w:r w:rsidRPr="008621DC">
        <w:t>adhesional SBO.</w:t>
      </w:r>
    </w:p>
    <w:p w14:paraId="19F0CB31" w14:textId="77777777" w:rsidR="006F71B9" w:rsidRPr="008621DC" w:rsidRDefault="006F71B9" w:rsidP="006F71B9"/>
    <w:sectPr w:rsidR="006F71B9" w:rsidRPr="0086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3360"/>
    <w:multiLevelType w:val="hybridMultilevel"/>
    <w:tmpl w:val="2376B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B9"/>
    <w:rsid w:val="002D7CFA"/>
    <w:rsid w:val="006F71B9"/>
    <w:rsid w:val="007078C3"/>
    <w:rsid w:val="00792E02"/>
    <w:rsid w:val="008621DC"/>
    <w:rsid w:val="00961AA9"/>
    <w:rsid w:val="00A90A79"/>
    <w:rsid w:val="00B21F0E"/>
    <w:rsid w:val="00C07FE6"/>
    <w:rsid w:val="00C507EF"/>
    <w:rsid w:val="00F3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CB574"/>
  <w15:chartTrackingRefBased/>
  <w15:docId w15:val="{810E5D81-AE1C-E341-B38A-666D3038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B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F71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B21F0E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21F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F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F0E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F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F0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313</Words>
  <Characters>1838</Characters>
  <Application>Microsoft Office Word</Application>
  <DocSecurity>0</DocSecurity>
  <Lines>48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Evangeline Woodford</dc:creator>
  <cp:keywords/>
  <dc:description/>
  <cp:lastModifiedBy>Evangeline Woodford</cp:lastModifiedBy>
  <cp:revision>4</cp:revision>
  <dcterms:created xsi:type="dcterms:W3CDTF">2022-01-20T20:20:00Z</dcterms:created>
  <dcterms:modified xsi:type="dcterms:W3CDTF">2022-01-22T18:41:00Z</dcterms:modified>
</cp:coreProperties>
</file>