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Access control overhaul (Immediate):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least privilege and separation of duties; formalize user access policies; review entitlements quarterly.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Protect payment/PII data (Immediate):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Enable encryption at rest &amp; in transit for cardholder and customer data; segment the cardholder data environment; restrict access to authorized personnel only.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Business continuity (Immediate):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Stand up backups (tested restores) and a documented DR plan with RPO/RTO targets; schedule legacy-system checks with defined intervention steps.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Endpoint &amp; network detection (Near-term):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Deploy IDS/IPS and tune with the firewall to improve detection and reduce dwell time.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Identity hygiene (Near-term):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Upgrade password policy to modern standards (length + MFA) and roll out a password manager with enforced complexity/rotation where appropriate.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Asset inventory &amp; data classification (Near-term):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Execute NIST CSF Identify function work to inventory/classify assets and data; this underpins PCI/GDPR/SOC alignment.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