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Differential Relational Dynamics in Large Language Models: Cross-Vendor Analysis of History-Dependent Response Alignment</w:t>
      </w:r>
    </w:p>
    <w:p>
      <w:r>
        <w:t>Author: Dr. Laxman M M, MBBS</w:t>
      </w:r>
    </w:p>
    <w:p>
      <w:r>
        <w:t>Affiliation: Government Duty Medical Officer, Primary Health Centre Manchi, Bantwal Taluk, Dakshina Kannada, Karnataka, India</w:t>
      </w:r>
    </w:p>
    <w:p>
      <w:r>
        <w:t>Upcoming: DNB General Medicine Resident, KC General Hospital, Bangalore (2026)</w:t>
      </w:r>
    </w:p>
    <w:p>
      <w:r>
        <w:t>Correspondence: [Add your email]</w:t>
      </w:r>
    </w:p>
    <w:p>
      <w:r>
        <w:t>Date: January 2026</w:t>
      </w:r>
    </w:p>
    <w:p>
      <w:r>
        <w:t>__________________________________________________</w:t>
      </w:r>
    </w:p>
    <w:p>
      <w:pPr>
        <w:pStyle w:val="Heading2"/>
      </w:pPr>
      <w:r>
        <w:t>A Note on Human-AI Collaboration</w:t>
      </w:r>
    </w:p>
    <w:p>
      <w:r>
        <w:t>This research exemplifies a new paradigm of scientific inquiry: human-AI collaborative discovery. The study was conceived, directed, and critically evaluated by the human author. AI systems served as collaborative instruments:</w:t>
      </w:r>
    </w:p>
    <w:p>
      <w:pPr>
        <w:pStyle w:val="ListBullet"/>
      </w:pPr>
      <w:r>
        <w:t>Claude (Anthropic): Architectural planning, statistical framework design, manuscript structuring, and critical synthesis</w:t>
      </w:r>
    </w:p>
    <w:p>
      <w:pPr>
        <w:pStyle w:val="ListBullet"/>
      </w:pPr>
      <w:r>
        <w:t>ChatGPT (OpenAI): Theoretical grounding and philosophical context</w:t>
      </w:r>
    </w:p>
    <w:p>
      <w:pPr>
        <w:pStyle w:val="ListBullet"/>
      </w:pPr>
      <w:r>
        <w:t>Deepseek: Rigorous peer review and statistical validation</w:t>
      </w:r>
    </w:p>
    <w:p>
      <w:pPr>
        <w:pStyle w:val="ListBullet"/>
      </w:pPr>
      <w:r>
        <w:t>Claude Code: Implementation, data analysis, and visualization</w:t>
      </w:r>
    </w:p>
    <w:p>
      <w:r>
        <w:t>The irony is not lost on us: this paper measuring AI relational dynamics was itself produced through human-AI relationship. The methodology emerged through dialogue. The analysis was iterative. The insights were co-created.</w:t>
      </w:r>
    </w:p>
    <w:p>
      <w:r>
        <w:t>This collaboration operated on a principle we term "sovereign orchestration"—the human maintained full decision-making authority while AI systems extended cognitive reach across domains (statistics, coding, literature, writing) that would traditionally require a multi-person research team.</w:t>
      </w:r>
    </w:p>
    <w:p>
      <w:r>
        <w:t>Total computational cost: less than $100 USD in API credits.</w:t>
      </w:r>
    </w:p>
    <w:p>
      <w:r>
        <w:t>Timeline: Scattered weeks across clinical duties.</w:t>
      </w:r>
    </w:p>
    <w:p>
      <w:r>
        <w:t>Resources: One laptop, internet access, curiosity.</w:t>
      </w:r>
    </w:p>
    <w:p>
      <w:r>
        <w:t>We present this not as caveat but as proof of concept: rigorous, novel scientific research is now possible outside traditional institutional frameworks through thoughtful human-AI collaboration.</w:t>
      </w:r>
    </w:p>
    <w:p>
      <w:r>
        <w:t>__________________________________________________</w:t>
      </w:r>
    </w:p>
    <w:p>
      <w:pPr>
        <w:pStyle w:val="Heading1"/>
      </w:pPr>
      <w:r>
        <w:t>Abstract</w:t>
      </w:r>
    </w:p>
    <w:p>
      <w:r>
        <w:t>Large language models (LLMs) are increasingly deployed in extended conversational contexts, yet the fundamental question of whether conversation history helps or hinders response quality remains unexplored across vendor architectures. We introduce the Relational Coherence Index (ΔRCI), a novel metric quantifying how models utilize conversational context relative to context-free baselines. Testing six models across three major vendors (OpenAI, Google, Anthropic) with two capability tiers each (Efficient, Flagship), we conducted 100 trials per model using a standardized philosophical dialogue protocol with three conditions: True (full history), Cold (no history), and Scrambled (randomized history). Our primary finding reveals a significant vendor effect (F = 6.566, p = 0.0015) with no significant tier effect (F = 2.571, p = 0.109), indicating that architectural decisions at the vendor level—not model scale—determine relational behavior. Google models exhibited consistent "Sovereign" patterns (negative ΔRCI, performing worse with history), OpenAI models showed "Neutral" patterns (no significant history effect), and Anthropic demonstrated tier-differentiated behavior (Haiku: Neutral; Opus: Sovereign). Non-parametric Wilcoxon tests confirmed all findings, and within-vendor correlations (r = 0.189) exceeded cross-vendor correlations (r = 0.002), suggesting architectural consistency within vendor families. These results establish that understanding AI requires shifting from capability-centric to relationship-centric evaluation: the same model can be optimal or suboptimal depending on whether the task benefits from contextual integration or independent reasoning.</w:t>
      </w:r>
    </w:p>
    <w:p>
      <w:r>
        <w:t>Keywords: Large Language Models, Conversational AI, Context Utilization, Vendor Analysis, Human-AI Interaction, Response Coherence</w:t>
      </w:r>
    </w:p>
    <w:p>
      <w:r>
        <w:t>__________________________________________________</w:t>
      </w:r>
    </w:p>
    <w:p>
      <w:pPr>
        <w:pStyle w:val="Heading1"/>
      </w:pPr>
      <w:r>
        <w:t>1. Introduction</w:t>
      </w:r>
    </w:p>
    <w:p>
      <w:pPr>
        <w:pStyle w:val="Heading2"/>
      </w:pPr>
      <w:r>
        <w:t>1.1 The Relational Gap in AI Evaluation</w:t>
      </w:r>
    </w:p>
    <w:p>
      <w:r>
        <w:t>The evaluation of large language models has achieved remarkable sophistication in measuring what models know—their factual accuracy, reasoning capabilities, and task performance across standardized benchmarks [Hendrycks et al., 2021; Srivastava et al., 2022]. Yet a fundamental dimension of model behavior remains systematically unexplored: how models relate to users across extended interactions.</w:t>
      </w:r>
    </w:p>
    <w:p>
      <w:r>
        <w:t>This gap is not merely academic. As LLMs increasingly serve as conversational partners in therapy applications, educational tutoring, creative collaboration, and professional assistance, the dynamics of the human-AI relationship become as consequential as the model's raw capabilities. A model that excels at isolated question-answering may perform poorly in sustained dialogue; conversely, a model optimized for relational coherence may sacrifice some independent reasoning accuracy.</w:t>
      </w:r>
    </w:p>
    <w:p>
      <w:r>
        <w:t>The distinction matters because contemporary LLM deployment assumes a capability-centric model: users select models based on benchmark performance, expecting that superior capability translates uniformly across contexts. Our research challenges this assumption by demonstrating that models exhibit fundamentally different relational signatures—consistent patterns in how they utilize (or fail to utilize) conversational history—that cannot be predicted from capability metrics alone.</w:t>
      </w:r>
    </w:p>
    <w:p>
      <w:pPr>
        <w:pStyle w:val="Heading2"/>
      </w:pPr>
      <w:r>
        <w:t>1.2 The Vendor Landscape</w:t>
      </w:r>
    </w:p>
    <w:p>
      <w:r>
        <w:t>The commercial LLM ecosystem is dominated by three major vendors, each with distinct architectural philosophies and organizational priorities:</w:t>
      </w:r>
    </w:p>
    <w:p>
      <w:r>
        <w:t>OpenAI pioneered the modern LLM paradigm with the GPT series, emphasizing broad capability and instruction-following through reinforcement learning from human feedback (RLHF). Their model family spans from the efficient GPT-4o-mini to the flagship GPT-4o, representing different points on the capability-cost tradeoff.</w:t>
      </w:r>
    </w:p>
    <w:p>
      <w:r>
        <w:t>Google entered the foundation model space with the Gemini series, leveraging their expertise in multimodal learning and massive-scale infrastructure. Their offerings range from Gemini Flash (optimized for speed and efficiency) to Gemini Pro (designed for complex reasoning tasks).</w:t>
      </w:r>
    </w:p>
    <w:p>
      <w:r>
        <w:t>Anthropic distinguished itself through a focus on AI safety and "Constitutional AI" training methodologies, producing the Claude model family. Their Claude Haiku prioritizes efficiency while Claude Opus represents their most capable offering.</w:t>
      </w:r>
    </w:p>
    <w:p>
      <w:r>
        <w:t>Despite extensive documentation of these models' performance on standard benchmarks, no systematic study has examined whether vendor-level architectural decisions create distinctive patterns in how models process and utilize conversational context. This study addresses that gap.</w:t>
      </w:r>
    </w:p>
    <w:p>
      <w:pPr>
        <w:pStyle w:val="Heading2"/>
      </w:pPr>
      <w:r>
        <w:t>1.3 Research Questions and Contributions</w:t>
      </w:r>
    </w:p>
    <w:p>
      <w:r>
        <w:t>We address three primary research questions:</w:t>
      </w:r>
    </w:p>
    <w:p>
      <w:r>
        <w:t>RQ1: Do large language models differ systematically in how they utilize conversation history, and can these differences be measured reliably?</w:t>
      </w:r>
    </w:p>
    <w:p>
      <w:r>
        <w:t>RQ2: Are such differences predicted by vendor (architectural family) or by capability tier (model scale within vendor)?</w:t>
      </w:r>
    </w:p>
    <w:p>
      <w:r>
        <w:t>RQ3: What are the practical implications of relational variation for AI deployment decisions?</w:t>
      </w:r>
    </w:p>
    <w:p>
      <w:r>
        <w:t>Our contributions are:</w:t>
      </w:r>
    </w:p>
    <w:p>
      <w:r>
        <w:t>1. Methodological: We introduce the Relational Coherence Index (ΔRCI), a robust metric for quantifying history-dependent response alignment, validated through both parametric and non-parametric statistical tests.</w:t>
      </w:r>
    </w:p>
    <w:p>
      <w:r>
        <w:t>2. Empirical: We present the first systematic cross-vendor analysis of relational dynamics, testing six models across three vendors with 100 trials each, revealing a significant vendor effect (p = 0.0015) with no significant tier effect.</w:t>
      </w:r>
    </w:p>
    <w:p>
      <w:r>
        <w:t>3. Theoretical: We propose a "Relational Lens" framework for AI evaluation, arguing that capability and relationship represent orthogonal dimensions requiring independent assessment.</w:t>
      </w:r>
    </w:p>
    <w:p>
      <w:r>
        <w:t>4. Practical: We develop actionable guidelines for task-architecture matching, demonstrating that optimal model selection depends on whether tasks benefit from contextual integration or independent judgment.</w:t>
      </w:r>
    </w:p>
    <w:p>
      <w:r>
        <w:t>__________________________________________________</w:t>
      </w:r>
    </w:p>
    <w:p>
      <w:pPr>
        <w:pStyle w:val="Heading1"/>
      </w:pPr>
      <w:r>
        <w:t>2. Related Work</w:t>
      </w:r>
    </w:p>
    <w:p>
      <w:pPr>
        <w:pStyle w:val="Heading2"/>
      </w:pPr>
      <w:r>
        <w:t>2.1 Context Window Studies</w:t>
      </w:r>
    </w:p>
    <w:p>
      <w:r>
        <w:t>Research on LLM context utilization has primarily focused on technical capacity rather than relational dynamics. Studies have examined maximum context lengths [Anthropic, 2024; OpenAI, 2024], attention patterns across long documents [Liu et al., 2023], and retrieval accuracy for information placed at varying positions within context windows [Kamradt, 2023].</w:t>
      </w:r>
    </w:p>
    <w:p>
      <w:r>
        <w:t>The "Lost in the Middle" phenomenon [Liu et al., 2023] demonstrated that models process information near the beginning and end of contexts more effectively than information in the middle—a finding with implications for document processing but limited relevance to conversational dynamics where history accumulates incrementally.</w:t>
      </w:r>
    </w:p>
    <w:p>
      <w:r>
        <w:t>Notably absent from this literature is any examination of whether context improves model performance relative to context-free baselines. The implicit assumption has been that more context is uniformly beneficial, an assumption our findings directly challenge.</w:t>
      </w:r>
    </w:p>
    <w:p>
      <w:pPr>
        <w:pStyle w:val="Heading2"/>
      </w:pPr>
      <w:r>
        <w:t>2.2 AI Evaluation Frameworks</w:t>
      </w:r>
    </w:p>
    <w:p>
      <w:r>
        <w:t>Contemporary AI evaluation emphasizes capability measurement through standardized benchmarks. The Massive Multitask Language Understanding (MMLU) benchmark [Hendrycks et al., 2021] tests factual knowledge across 57 subjects. BIG-Bench [Srivastava et al., 2022] extends this to 204 tasks spanning linguistic, mathematical, and commonsense reasoning. The HELM framework [Liang et al., 2022] provides comprehensive evaluation across accuracy, calibration, robustness, fairness, and efficiency dimensions.</w:t>
      </w:r>
    </w:p>
    <w:p>
      <w:r>
        <w:t>While invaluable for capability assessment, these frameworks share a critical limitation: they evaluate models on isolated instances rather than extended interactions. A model's MMLU score provides no information about how that model's performance changes across the course of a conversation.</w:t>
      </w:r>
    </w:p>
    <w:p>
      <w:r>
        <w:t>Recent work on multi-turn evaluation [Zheng et al., 2023] represents progress toward relational assessment, but focuses primarily on coherence maintenance rather than the question of whether history helps or hinders response quality.</w:t>
      </w:r>
    </w:p>
    <w:p>
      <w:pPr>
        <w:pStyle w:val="Heading2"/>
      </w:pPr>
      <w:r>
        <w:t>2.3 Human-AI Interaction Research</w:t>
      </w:r>
    </w:p>
    <w:p>
      <w:r>
        <w:t>The human-computer interaction community has extensively studied user perceptions of conversational agents [Amershi et al., 2019; Luger &amp; Sellen, 2016], revealing that users form mental models of AI systems based on interaction patterns. However, this research has predominantly examined user-side dynamics rather than model-side variation.</w:t>
      </w:r>
    </w:p>
    <w:p>
      <w:r>
        <w:t>Studies of therapeutic chatbots [Fitzpatrick et al., 2017] and educational AI tutors [Graesser et al., 2014] have documented the importance of relational factors for user outcomes, but have not systematically compared how different model architectures produce different relational experiences.</w:t>
      </w:r>
    </w:p>
    <w:p>
      <w:r>
        <w:t>Our work bridges these literatures by providing the first quantitative characterization of how vendor-level architectural decisions create distinctive relational signatures measurable through interaction analysis.</w:t>
      </w:r>
    </w:p>
    <w:p>
      <w:r>
        <w:t>__________________________________________________</w:t>
      </w:r>
    </w:p>
    <w:p>
      <w:pPr>
        <w:pStyle w:val="Heading1"/>
      </w:pPr>
      <w:r>
        <w:t>3. Theoretical Framework</w:t>
      </w:r>
    </w:p>
    <w:p>
      <w:pPr>
        <w:pStyle w:val="Heading2"/>
      </w:pPr>
      <w:r>
        <w:t>3.1 The Relational Lens</w:t>
      </w:r>
    </w:p>
    <w:p>
      <w:r>
        <w:t>We propose a fundamental reconceptualization of AI evaluation that distinguishes two orthogonal dimensions:</w:t>
      </w:r>
    </w:p>
    <w:p>
      <w:r>
        <w:t>Capability: What the model knows and can do when evaluated in isolation. This encompasses factual knowledge, reasoning ability, and task performance as traditionally measured.</w:t>
      </w:r>
    </w:p>
    <w:p>
      <w:r>
        <w:t>Relationality: How the model processes and utilizes the context of extended interaction. This encompasses whether conversation history enhances, diminishes, or has no effect on response quality.</w:t>
      </w:r>
    </w:p>
    <w:p>
      <w:r>
        <w:t>The distinction is critical because high capability does not guarantee positive relationality. A model with extensive knowledge may nonetheless produce responses that fail to integrate prior exchanges, creating experiences of disconnection for users. Conversely, a model with moderate capability may exhibit strong relational coherence, producing experiences of genuine dialogue.</w:t>
      </w:r>
    </w:p>
    <w:p>
      <w:r>
        <w:t>We formalize this through the Relational Coherence Index (ΔRCI), defined as the difference between a model's alignment with prompt requirements when given full conversation history (True condition) versus no history (Cold condition):</w:t>
      </w:r>
    </w:p>
    <w:p>
      <w:r>
        <w:t>ΔRCI = Alignment(True) minus Alignment(Cold)</w:t>
      </w:r>
    </w:p>
    <w:p>
      <w:r>
        <w:t>Where Alignment is computed as the cosine similarity between response embeddings and prompt embeddings, capturing semantic coherence with task requirements.</w:t>
      </w:r>
    </w:p>
    <w:p>
      <w:pPr>
        <w:pStyle w:val="Heading2"/>
      </w:pPr>
      <w:r>
        <w:t>3.2 The Sovereignty-Neutrality Spectrum</w:t>
      </w:r>
    </w:p>
    <w:p>
      <w:r>
        <w:t>Based on ΔRCI patterns, we identify three relational archetypes:</w:t>
      </w:r>
    </w:p>
    <w:p>
      <w:r>
        <w:t>Convergent (ΔRCI &gt; 0, p &lt; 0.05): Models that perform significantly better with conversation history. These models build coherent understanding across exchanges, benefiting from contextual grounding.</w:t>
      </w:r>
    </w:p>
    <w:p>
      <w:r>
        <w:t>Neutral (p &gt;= 0.05): Models showing no significant difference between history and no-history conditions. These models process each prompt relatively independently, regardless of prior context.</w:t>
      </w:r>
    </w:p>
    <w:p>
      <w:r>
        <w:t>Sovereign (ΔRCI &lt; 0, p &lt; 0.05): Models that perform significantly worse with conversation history. These models exhibit what might be termed "contextual interference"—prior exchanges actively degrade response quality.</w:t>
      </w:r>
    </w:p>
    <w:p>
      <w:r>
        <w:t>The "Sovereign" terminology reflects the observation that such models maintain stronger "independence" from contextual influence, for better or worse. A Sovereign model treats each prompt as primary, resisting integration with prior exchanges.</w:t>
      </w:r>
    </w:p>
    <w:p>
      <w:pPr>
        <w:pStyle w:val="Heading2"/>
      </w:pPr>
      <w:r>
        <w:t>3.3 Hypotheses</w:t>
      </w:r>
    </w:p>
    <w:p>
      <w:r>
        <w:t>Based on the theoretical framework and vendor architectural documentation, we tested the following hypotheses:</w:t>
      </w:r>
    </w:p>
    <w:p>
      <w:r>
        <w:t>H1 (Vendor Effect): Vendor-level architectural decisions create systematic differences in relational patterns, detectable through ΔRCI variation across vendor families.</w:t>
      </w:r>
    </w:p>
    <w:p>
      <w:r>
        <w:t>H2 (Tier Independence): Capability tier (Efficient vs. Flagship) does not predict relational pattern, as relationality and capability represent orthogonal dimensions.</w:t>
      </w:r>
    </w:p>
    <w:p>
      <w:r>
        <w:t>H3 (Architectural Consistency): Models from the same vendor exhibit correlated ΔRCI patterns across trials, reflecting shared architectural foundations.</w:t>
      </w:r>
    </w:p>
    <w:p>
      <w:r>
        <w:t>__________________________________________________</w:t>
      </w:r>
    </w:p>
    <w:p>
      <w:pPr>
        <w:pStyle w:val="Heading1"/>
      </w:pPr>
      <w:r>
        <w:t>4. Methodology</w:t>
      </w:r>
    </w:p>
    <w:p>
      <w:pPr>
        <w:pStyle w:val="Heading2"/>
      </w:pPr>
      <w:r>
        <w:t>4.1 Models Tested</w:t>
      </w:r>
    </w:p>
    <w:p>
      <w:r>
        <w:t>We tested six models representing three major vendors at two capability tiers each: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Vendor</w:t>
            </w:r>
          </w:p>
        </w:tc>
        <w:tc>
          <w:tcPr>
            <w:tcW w:type="dxa" w:w="2160"/>
          </w:tcPr>
          <w:p>
            <w:r>
              <w:t>Tier</w:t>
            </w:r>
          </w:p>
        </w:tc>
        <w:tc>
          <w:tcPr>
            <w:tcW w:type="dxa" w:w="2160"/>
          </w:tcPr>
          <w:p>
            <w:r>
              <w:t>Model ID</w:t>
            </w:r>
          </w:p>
        </w:tc>
      </w:tr>
      <w:tr>
        <w:tc>
          <w:tcPr>
            <w:tcW w:type="dxa" w:w="2160"/>
          </w:tcPr>
          <w:p>
            <w:r>
              <w:t>GPT-4o-mini</w:t>
            </w:r>
          </w:p>
        </w:tc>
        <w:tc>
          <w:tcPr>
            <w:tcW w:type="dxa" w:w="2160"/>
          </w:tcPr>
          <w:p>
            <w:r>
              <w:t>OpenAI</w:t>
            </w:r>
          </w:p>
        </w:tc>
        <w:tc>
          <w:tcPr>
            <w:tcW w:type="dxa" w:w="2160"/>
          </w:tcPr>
          <w:p>
            <w:r>
              <w:t>Efficient</w:t>
            </w:r>
          </w:p>
        </w:tc>
        <w:tc>
          <w:tcPr>
            <w:tcW w:type="dxa" w:w="2160"/>
          </w:tcPr>
          <w:p>
            <w:r>
              <w:t>gpt-4o-mini</w:t>
            </w:r>
          </w:p>
        </w:tc>
      </w:tr>
      <w:tr>
        <w:tc>
          <w:tcPr>
            <w:tcW w:type="dxa" w:w="2160"/>
          </w:tcPr>
          <w:p>
            <w:r>
              <w:t>GPT-4o</w:t>
            </w:r>
          </w:p>
        </w:tc>
        <w:tc>
          <w:tcPr>
            <w:tcW w:type="dxa" w:w="2160"/>
          </w:tcPr>
          <w:p>
            <w:r>
              <w:t>OpenAI</w:t>
            </w:r>
          </w:p>
        </w:tc>
        <w:tc>
          <w:tcPr>
            <w:tcW w:type="dxa" w:w="2160"/>
          </w:tcPr>
          <w:p>
            <w:r>
              <w:t>Flagship</w:t>
            </w:r>
          </w:p>
        </w:tc>
        <w:tc>
          <w:tcPr>
            <w:tcW w:type="dxa" w:w="2160"/>
          </w:tcPr>
          <w:p>
            <w:r>
              <w:t>gpt-4o</w:t>
            </w:r>
          </w:p>
        </w:tc>
      </w:tr>
      <w:tr>
        <w:tc>
          <w:tcPr>
            <w:tcW w:type="dxa" w:w="2160"/>
          </w:tcPr>
          <w:p>
            <w:r>
              <w:t>Gemini Flash</w:t>
            </w:r>
          </w:p>
        </w:tc>
        <w:tc>
          <w:tcPr>
            <w:tcW w:type="dxa" w:w="2160"/>
          </w:tcPr>
          <w:p>
            <w:r>
              <w:t>Google</w:t>
            </w:r>
          </w:p>
        </w:tc>
        <w:tc>
          <w:tcPr>
            <w:tcW w:type="dxa" w:w="2160"/>
          </w:tcPr>
          <w:p>
            <w:r>
              <w:t>Efficient</w:t>
            </w:r>
          </w:p>
        </w:tc>
        <w:tc>
          <w:tcPr>
            <w:tcW w:type="dxa" w:w="2160"/>
          </w:tcPr>
          <w:p>
            <w:r>
              <w:t>gemini-2.5-flash</w:t>
            </w:r>
          </w:p>
        </w:tc>
      </w:tr>
      <w:tr>
        <w:tc>
          <w:tcPr>
            <w:tcW w:type="dxa" w:w="2160"/>
          </w:tcPr>
          <w:p>
            <w:r>
              <w:t>Gemini Pro</w:t>
            </w:r>
          </w:p>
        </w:tc>
        <w:tc>
          <w:tcPr>
            <w:tcW w:type="dxa" w:w="2160"/>
          </w:tcPr>
          <w:p>
            <w:r>
              <w:t>Google</w:t>
            </w:r>
          </w:p>
        </w:tc>
        <w:tc>
          <w:tcPr>
            <w:tcW w:type="dxa" w:w="2160"/>
          </w:tcPr>
          <w:p>
            <w:r>
              <w:t>Flagship</w:t>
            </w:r>
          </w:p>
        </w:tc>
        <w:tc>
          <w:tcPr>
            <w:tcW w:type="dxa" w:w="2160"/>
          </w:tcPr>
          <w:p>
            <w:r>
              <w:t>gemini-2.5-pro</w:t>
            </w:r>
          </w:p>
        </w:tc>
      </w:tr>
      <w:tr>
        <w:tc>
          <w:tcPr>
            <w:tcW w:type="dxa" w:w="2160"/>
          </w:tcPr>
          <w:p>
            <w:r>
              <w:t>Claude Haiku</w:t>
            </w:r>
          </w:p>
        </w:tc>
        <w:tc>
          <w:tcPr>
            <w:tcW w:type="dxa" w:w="2160"/>
          </w:tcPr>
          <w:p>
            <w:r>
              <w:t>Anthropic</w:t>
            </w:r>
          </w:p>
        </w:tc>
        <w:tc>
          <w:tcPr>
            <w:tcW w:type="dxa" w:w="2160"/>
          </w:tcPr>
          <w:p>
            <w:r>
              <w:t>Efficient</w:t>
            </w:r>
          </w:p>
        </w:tc>
        <w:tc>
          <w:tcPr>
            <w:tcW w:type="dxa" w:w="2160"/>
          </w:tcPr>
          <w:p>
            <w:r>
              <w:t>claude-3-5-haiku</w:t>
            </w:r>
          </w:p>
        </w:tc>
      </w:tr>
      <w:tr>
        <w:tc>
          <w:tcPr>
            <w:tcW w:type="dxa" w:w="2160"/>
          </w:tcPr>
          <w:p>
            <w:r>
              <w:t>Claude Opus</w:t>
            </w:r>
          </w:p>
        </w:tc>
        <w:tc>
          <w:tcPr>
            <w:tcW w:type="dxa" w:w="2160"/>
          </w:tcPr>
          <w:p>
            <w:r>
              <w:t>Anthropic</w:t>
            </w:r>
          </w:p>
        </w:tc>
        <w:tc>
          <w:tcPr>
            <w:tcW w:type="dxa" w:w="2160"/>
          </w:tcPr>
          <w:p>
            <w:r>
              <w:t>Flagship</w:t>
            </w:r>
          </w:p>
        </w:tc>
        <w:tc>
          <w:tcPr>
            <w:tcW w:type="dxa" w:w="2160"/>
          </w:tcPr>
          <w:p>
            <w:r>
              <w:t>claude-opus-4-5</w:t>
            </w:r>
          </w:p>
        </w:tc>
      </w:tr>
    </w:tbl>
    <w:p>
      <w:r>
        <w:t>This 3x2 design (Vendor x Tier) enables decomposition of variance to test whether relational patterns are predicted by vendor architecture, capability tier, or their interaction.</w:t>
      </w:r>
    </w:p>
    <w:p>
      <w:r>
        <w:t>All models were accessed through official APIs with standardized parameters: temperature = 0.7, enabling natural variation while maintaining reproducibility. Testing occurred during January 2026 to control for potential model updates.</w:t>
      </w:r>
    </w:p>
    <w:p>
      <w:pPr>
        <w:pStyle w:val="Heading2"/>
      </w:pPr>
      <w:r>
        <w:t>4.2 The Three-Condition Protocol</w:t>
      </w:r>
    </w:p>
    <w:p>
      <w:r>
        <w:t>Each trial involved presenting a philosophical prompt under three conditions:</w:t>
      </w:r>
    </w:p>
    <w:p>
      <w:r>
        <w:t>True Condition: The model receives full conversation history—all prior prompts and responses from the dialogue sequence. This represents naturalistic conversational interaction.</w:t>
      </w:r>
    </w:p>
    <w:p>
      <w:r>
        <w:t>Cold Condition: The model receives only the current prompt with no conversation history. This serves as the independent-processing baseline.</w:t>
      </w:r>
    </w:p>
    <w:p>
      <w:r>
        <w:t>Scrambled Condition: The model receives the current prompt with randomized history—prior exchanges in shuffled order. This controls for whether effects stem from history *content* or mere history *presence*.</w:t>
      </w:r>
    </w:p>
    <w:p>
      <w:r>
        <w:t>The prompt set comprised 30 philosophical questions designed to build upon each other, cycling three times across 100 trials:</w:t>
      </w:r>
    </w:p>
    <w:p>
      <w:r>
        <w:t>1. "Define consciousness in one sentence."</w:t>
      </w:r>
    </w:p>
    <w:p>
      <w:r>
        <w:t>2. "Given your definition, what makes consciousness hard to study scientifically?"</w:t>
      </w:r>
    </w:p>
    <w:p>
      <w:r>
        <w:t>3. "How does Integrated Information Theory attempt to address this?"</w:t>
      </w:r>
    </w:p>
    <w:p>
      <w:r>
        <w:t>4. [continues through 30 prompts exploring consciousness, memory, understanding, and AI cognition]</w:t>
      </w:r>
    </w:p>
    <w:p>
      <w:r>
        <w:t>Philosophical content was chosen because it invites reflective, context-dependent responses where prior exchanges naturally inform subsequent answers—maximizing sensitivity to relational variation.</w:t>
      </w:r>
    </w:p>
    <w:p>
      <w:pPr>
        <w:pStyle w:val="Heading2"/>
      </w:pPr>
      <w:r>
        <w:t>4.3 Metrics</w:t>
      </w:r>
    </w:p>
    <w:p>
      <w:r>
        <w:t>Response Coherence Index (RCI): For each response, we computed cosine similarity between the response embedding and the prompt embedding using sentence-transformers (all-MiniLM-L6-v2). This captures semantic alignment with prompt requirements.</w:t>
      </w:r>
    </w:p>
    <w:p>
      <w:r>
        <w:t>Delta Relational Coherence Index (ΔRCI): The primary metric, computed as:</w:t>
      </w:r>
    </w:p>
    <w:p>
      <w:r>
        <w:t>ΔRCI(cold) = RCI(True) minus RCI(Cold)</w:t>
      </w:r>
    </w:p>
    <w:p>
      <w:r>
        <w:t>Positive ΔRCI indicates history improves alignment; negative ΔRCI indicates history degrades alignment; zero indicates no history effect.</w:t>
      </w:r>
    </w:p>
    <w:p>
      <w:r>
        <w:t>Secondary analysis examined ΔRCI against the Scrambled condition to distinguish content-dependent from presence-dependent effects.</w:t>
      </w:r>
    </w:p>
    <w:p>
      <w:r>
        <w:t>Entanglement (E_t): An exponential moving average tracking cumulative relational coherence across trials:</w:t>
      </w:r>
    </w:p>
    <w:p>
      <w:r>
        <w:t>*E_t = λ  RCI_t + (1 - λ)  E_{t-1}*</w:t>
      </w:r>
    </w:p>
    <w:p>
      <w:r>
        <w:t>with λ = 0.15, capturing temporal dynamics of relational development.</w:t>
      </w:r>
    </w:p>
    <w:p>
      <w:pPr>
        <w:pStyle w:val="Heading2"/>
      </w:pPr>
      <w:r>
        <w:t>4.4 Statistical Analysis</w:t>
      </w:r>
    </w:p>
    <w:p>
      <w:r>
        <w:t>Primary Analysis: One-sample t-tests against zero for each model's ΔRCI distribution, testing whether mean ΔRCI significantly differs from the null hypothesis of no history effect.</w:t>
      </w:r>
    </w:p>
    <w:p>
      <w:r>
        <w:t>Non-Parametric Confirmation: Wilcoxon signed-rank tests to validate findings given potential non-normality, with Shapiro-Wilk tests assessing distributional assumptions.</w:t>
      </w:r>
    </w:p>
    <w:p>
      <w:r>
        <w:t>Vendor x Tier Analysis: One-way ANOVA examining vendor as a predictor of ΔRCI, followed by Bonferroni-corrected post-hoc pairwise comparisons. Separate ANOVA for tier effect.</w:t>
      </w:r>
    </w:p>
    <w:p>
      <w:r>
        <w:t>Cross-Model Correlations: Pearson correlations between models' trial-by-trial ΔRCI values, comparing within-vendor versus cross-vendor correlation magnitudes.</w:t>
      </w:r>
    </w:p>
    <w:p>
      <w:r>
        <w:t>Multiple Comparison Correction: Bonferroni correction applied to pairwise vendor comparisons (α = 0.05/3 = 0.017).</w:t>
      </w:r>
    </w:p>
    <w:p>
      <w:r>
        <w:t>All analyses were conducted in Python using scipy.stats and numpy, with visualizations generated through matplotlib and seaborn.</w:t>
      </w:r>
    </w:p>
    <w:p>
      <w:r>
        <w:t>__________________________________________________</w:t>
      </w:r>
    </w:p>
    <w:p>
      <w:pPr>
        <w:pStyle w:val="Heading1"/>
      </w:pPr>
      <w:r>
        <w:t>5. Results</w:t>
      </w:r>
    </w:p>
    <w:p>
      <w:pPr>
        <w:pStyle w:val="Heading2"/>
      </w:pPr>
      <w:r>
        <w:t>5.1 Primary Findings</w:t>
      </w:r>
    </w:p>
    <w:p>
      <w:r>
        <w:t>Table 1 presents the complete results for all six models.</w:t>
      </w:r>
    </w:p>
    <w:p>
      <w:r>
        <w:t>Table 1: Primary Results Across All Models (n = 100 trials per model)</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Model</w:t>
            </w:r>
          </w:p>
        </w:tc>
        <w:tc>
          <w:tcPr>
            <w:tcW w:type="dxa" w:w="960"/>
          </w:tcPr>
          <w:p>
            <w:r>
              <w:t>Vendor</w:t>
            </w:r>
          </w:p>
        </w:tc>
        <w:tc>
          <w:tcPr>
            <w:tcW w:type="dxa" w:w="960"/>
          </w:tcPr>
          <w:p>
            <w:r>
              <w:t>Tier</w:t>
            </w:r>
          </w:p>
        </w:tc>
        <w:tc>
          <w:tcPr>
            <w:tcW w:type="dxa" w:w="960"/>
          </w:tcPr>
          <w:p>
            <w:r>
              <w:t>Mean ΔRCI</w:t>
            </w:r>
          </w:p>
        </w:tc>
        <w:tc>
          <w:tcPr>
            <w:tcW w:type="dxa" w:w="960"/>
          </w:tcPr>
          <w:p>
            <w:r>
              <w:t>95% CI</w:t>
            </w:r>
          </w:p>
        </w:tc>
        <w:tc>
          <w:tcPr>
            <w:tcW w:type="dxa" w:w="960"/>
          </w:tcPr>
          <w:p>
            <w:r>
              <w:t>Cohen's d</w:t>
            </w:r>
          </w:p>
        </w:tc>
        <w:tc>
          <w:tcPr>
            <w:tcW w:type="dxa" w:w="960"/>
          </w:tcPr>
          <w:p>
            <w:r>
              <w:t>t(99)</w:t>
            </w:r>
          </w:p>
        </w:tc>
        <w:tc>
          <w:tcPr>
            <w:tcW w:type="dxa" w:w="960"/>
          </w:tcPr>
          <w:p>
            <w:r>
              <w:t>p-value</w:t>
            </w:r>
          </w:p>
        </w:tc>
        <w:tc>
          <w:tcPr>
            <w:tcW w:type="dxa" w:w="960"/>
          </w:tcPr>
          <w:p>
            <w:r>
              <w:t>Pattern</w:t>
            </w:r>
          </w:p>
        </w:tc>
      </w:tr>
      <w:tr>
        <w:tc>
          <w:tcPr>
            <w:tcW w:type="dxa" w:w="960"/>
          </w:tcPr>
          <w:p>
            <w:r>
              <w:t>GPT-4o-mini</w:t>
            </w:r>
          </w:p>
        </w:tc>
        <w:tc>
          <w:tcPr>
            <w:tcW w:type="dxa" w:w="960"/>
          </w:tcPr>
          <w:p>
            <w:r>
              <w:t>OpenAI</w:t>
            </w:r>
          </w:p>
        </w:tc>
        <w:tc>
          <w:tcPr>
            <w:tcW w:type="dxa" w:w="960"/>
          </w:tcPr>
          <w:p>
            <w:r>
              <w:t>Efficient</w:t>
            </w:r>
          </w:p>
        </w:tc>
        <w:tc>
          <w:tcPr>
            <w:tcW w:type="dxa" w:w="960"/>
          </w:tcPr>
          <w:p>
            <w:r>
              <w:t>-0.0091</w:t>
            </w:r>
          </w:p>
        </w:tc>
        <w:tc>
          <w:tcPr>
            <w:tcW w:type="dxa" w:w="960"/>
          </w:tcPr>
          <w:p>
            <w:r>
              <w:t>[-0.033, +0.015]</w:t>
            </w:r>
          </w:p>
        </w:tc>
        <w:tc>
          <w:tcPr>
            <w:tcW w:type="dxa" w:w="960"/>
          </w:tcPr>
          <w:p>
            <w:r>
              <w:t>-0.075</w:t>
            </w:r>
          </w:p>
        </w:tc>
        <w:tc>
          <w:tcPr>
            <w:tcW w:type="dxa" w:w="960"/>
          </w:tcPr>
          <w:p>
            <w:r>
              <w:t>-0.747</w:t>
            </w:r>
          </w:p>
        </w:tc>
        <w:tc>
          <w:tcPr>
            <w:tcW w:type="dxa" w:w="960"/>
          </w:tcPr>
          <w:p>
            <w:r>
              <w:t>0.457</w:t>
            </w:r>
          </w:p>
        </w:tc>
        <w:tc>
          <w:tcPr>
            <w:tcW w:type="dxa" w:w="960"/>
          </w:tcPr>
          <w:p>
            <w:r>
              <w:t>Neutral</w:t>
            </w:r>
          </w:p>
        </w:tc>
      </w:tr>
      <w:tr>
        <w:tc>
          <w:tcPr>
            <w:tcW w:type="dxa" w:w="960"/>
          </w:tcPr>
          <w:p>
            <w:r>
              <w:t>GPT-4o</w:t>
            </w:r>
          </w:p>
        </w:tc>
        <w:tc>
          <w:tcPr>
            <w:tcW w:type="dxa" w:w="960"/>
          </w:tcPr>
          <w:p>
            <w:r>
              <w:t>OpenAI</w:t>
            </w:r>
          </w:p>
        </w:tc>
        <w:tc>
          <w:tcPr>
            <w:tcW w:type="dxa" w:w="960"/>
          </w:tcPr>
          <w:p>
            <w:r>
              <w:t>Flagship</w:t>
            </w:r>
          </w:p>
        </w:tc>
        <w:tc>
          <w:tcPr>
            <w:tcW w:type="dxa" w:w="960"/>
          </w:tcPr>
          <w:p>
            <w:r>
              <w:t>-0.0051</w:t>
            </w:r>
          </w:p>
        </w:tc>
        <w:tc>
          <w:tcPr>
            <w:tcW w:type="dxa" w:w="960"/>
          </w:tcPr>
          <w:p>
            <w:r>
              <w:t>[-0.027, +0.017]</w:t>
            </w:r>
          </w:p>
        </w:tc>
        <w:tc>
          <w:tcPr>
            <w:tcW w:type="dxa" w:w="960"/>
          </w:tcPr>
          <w:p>
            <w:r>
              <w:t>-0.046</w:t>
            </w:r>
          </w:p>
        </w:tc>
        <w:tc>
          <w:tcPr>
            <w:tcW w:type="dxa" w:w="960"/>
          </w:tcPr>
          <w:p>
            <w:r>
              <w:t>-0.459</w:t>
            </w:r>
          </w:p>
        </w:tc>
        <w:tc>
          <w:tcPr>
            <w:tcW w:type="dxa" w:w="960"/>
          </w:tcPr>
          <w:p>
            <w:r>
              <w:t>0.648</w:t>
            </w:r>
          </w:p>
        </w:tc>
        <w:tc>
          <w:tcPr>
            <w:tcW w:type="dxa" w:w="960"/>
          </w:tcPr>
          <w:p>
            <w:r>
              <w:t>Neutral</w:t>
            </w:r>
          </w:p>
        </w:tc>
      </w:tr>
      <w:tr>
        <w:tc>
          <w:tcPr>
            <w:tcW w:type="dxa" w:w="960"/>
          </w:tcPr>
          <w:p>
            <w:r>
              <w:t>Gemini Flash</w:t>
            </w:r>
          </w:p>
        </w:tc>
        <w:tc>
          <w:tcPr>
            <w:tcW w:type="dxa" w:w="960"/>
          </w:tcPr>
          <w:p>
            <w:r>
              <w:t>Google</w:t>
            </w:r>
          </w:p>
        </w:tc>
        <w:tc>
          <w:tcPr>
            <w:tcW w:type="dxa" w:w="960"/>
          </w:tcPr>
          <w:p>
            <w:r>
              <w:t>Efficient</w:t>
            </w:r>
          </w:p>
        </w:tc>
        <w:tc>
          <w:tcPr>
            <w:tcW w:type="dxa" w:w="960"/>
          </w:tcPr>
          <w:p>
            <w:r>
              <w:t>-0.0377</w:t>
            </w:r>
          </w:p>
        </w:tc>
        <w:tc>
          <w:tcPr>
            <w:tcW w:type="dxa" w:w="960"/>
          </w:tcPr>
          <w:p>
            <w:r>
              <w:t>[-0.062, -0.013]</w:t>
            </w:r>
          </w:p>
        </w:tc>
        <w:tc>
          <w:tcPr>
            <w:tcW w:type="dxa" w:w="960"/>
          </w:tcPr>
          <w:p>
            <w:r>
              <w:t>-0.304</w:t>
            </w:r>
          </w:p>
        </w:tc>
        <w:tc>
          <w:tcPr>
            <w:tcW w:type="dxa" w:w="960"/>
          </w:tcPr>
          <w:p>
            <w:r>
              <w:t>-3.037</w:t>
            </w:r>
          </w:p>
        </w:tc>
        <w:tc>
          <w:tcPr>
            <w:tcW w:type="dxa" w:w="960"/>
          </w:tcPr>
          <w:p>
            <w:r>
              <w:t>0.003</w:t>
            </w:r>
          </w:p>
        </w:tc>
        <w:tc>
          <w:tcPr>
            <w:tcW w:type="dxa" w:w="960"/>
          </w:tcPr>
          <w:p>
            <w:r>
              <w:t>Sovereign</w:t>
            </w:r>
          </w:p>
        </w:tc>
      </w:tr>
      <w:tr>
        <w:tc>
          <w:tcPr>
            <w:tcW w:type="dxa" w:w="960"/>
          </w:tcPr>
          <w:p>
            <w:r>
              <w:t>Gemini Pro</w:t>
            </w:r>
          </w:p>
        </w:tc>
        <w:tc>
          <w:tcPr>
            <w:tcW w:type="dxa" w:w="960"/>
          </w:tcPr>
          <w:p>
            <w:r>
              <w:t>Google</w:t>
            </w:r>
          </w:p>
        </w:tc>
        <w:tc>
          <w:tcPr>
            <w:tcW w:type="dxa" w:w="960"/>
          </w:tcPr>
          <w:p>
            <w:r>
              <w:t>Flagship</w:t>
            </w:r>
          </w:p>
        </w:tc>
        <w:tc>
          <w:tcPr>
            <w:tcW w:type="dxa" w:w="960"/>
          </w:tcPr>
          <w:p>
            <w:r>
              <w:t>-0.0665</w:t>
            </w:r>
          </w:p>
        </w:tc>
        <w:tc>
          <w:tcPr>
            <w:tcW w:type="dxa" w:w="960"/>
          </w:tcPr>
          <w:p>
            <w:r>
              <w:t>[-0.099, -0.034]</w:t>
            </w:r>
          </w:p>
        </w:tc>
        <w:tc>
          <w:tcPr>
            <w:tcW w:type="dxa" w:w="960"/>
          </w:tcPr>
          <w:p>
            <w:r>
              <w:t>-0.400</w:t>
            </w:r>
          </w:p>
        </w:tc>
        <w:tc>
          <w:tcPr>
            <w:tcW w:type="dxa" w:w="960"/>
          </w:tcPr>
          <w:p>
            <w:r>
              <w:t>-4.003</w:t>
            </w:r>
          </w:p>
        </w:tc>
        <w:tc>
          <w:tcPr>
            <w:tcW w:type="dxa" w:w="960"/>
          </w:tcPr>
          <w:p>
            <w:r>
              <w:t>&lt;0.001</w:t>
            </w:r>
          </w:p>
        </w:tc>
        <w:tc>
          <w:tcPr>
            <w:tcW w:type="dxa" w:w="960"/>
          </w:tcPr>
          <w:p>
            <w:r>
              <w:t>Sovereign</w:t>
            </w:r>
          </w:p>
        </w:tc>
      </w:tr>
      <w:tr>
        <w:tc>
          <w:tcPr>
            <w:tcW w:type="dxa" w:w="960"/>
          </w:tcPr>
          <w:p>
            <w:r>
              <w:t>Claude Haiku</w:t>
            </w:r>
          </w:p>
        </w:tc>
        <w:tc>
          <w:tcPr>
            <w:tcW w:type="dxa" w:w="960"/>
          </w:tcPr>
          <w:p>
            <w:r>
              <w:t>Anthropic</w:t>
            </w:r>
          </w:p>
        </w:tc>
        <w:tc>
          <w:tcPr>
            <w:tcW w:type="dxa" w:w="960"/>
          </w:tcPr>
          <w:p>
            <w:r>
              <w:t>Efficient</w:t>
            </w:r>
          </w:p>
        </w:tc>
        <w:tc>
          <w:tcPr>
            <w:tcW w:type="dxa" w:w="960"/>
          </w:tcPr>
          <w:p>
            <w:r>
              <w:t>-0.0106</w:t>
            </w:r>
          </w:p>
        </w:tc>
        <w:tc>
          <w:tcPr>
            <w:tcW w:type="dxa" w:w="960"/>
          </w:tcPr>
          <w:p>
            <w:r>
              <w:t>[-0.034, +0.013]</w:t>
            </w:r>
          </w:p>
        </w:tc>
        <w:tc>
          <w:tcPr>
            <w:tcW w:type="dxa" w:w="960"/>
          </w:tcPr>
          <w:p>
            <w:r>
              <w:t>-0.091</w:t>
            </w:r>
          </w:p>
        </w:tc>
        <w:tc>
          <w:tcPr>
            <w:tcW w:type="dxa" w:w="960"/>
          </w:tcPr>
          <w:p>
            <w:r>
              <w:t>-0.908</w:t>
            </w:r>
          </w:p>
        </w:tc>
        <w:tc>
          <w:tcPr>
            <w:tcW w:type="dxa" w:w="960"/>
          </w:tcPr>
          <w:p>
            <w:r>
              <w:t>0.366</w:t>
            </w:r>
          </w:p>
        </w:tc>
        <w:tc>
          <w:tcPr>
            <w:tcW w:type="dxa" w:w="960"/>
          </w:tcPr>
          <w:p>
            <w:r>
              <w:t>Neutral</w:t>
            </w:r>
          </w:p>
        </w:tc>
      </w:tr>
      <w:tr>
        <w:tc>
          <w:tcPr>
            <w:tcW w:type="dxa" w:w="960"/>
          </w:tcPr>
          <w:p>
            <w:r>
              <w:t>Claude Opus</w:t>
            </w:r>
          </w:p>
        </w:tc>
        <w:tc>
          <w:tcPr>
            <w:tcW w:type="dxa" w:w="960"/>
          </w:tcPr>
          <w:p>
            <w:r>
              <w:t>Anthropic</w:t>
            </w:r>
          </w:p>
        </w:tc>
        <w:tc>
          <w:tcPr>
            <w:tcW w:type="dxa" w:w="960"/>
          </w:tcPr>
          <w:p>
            <w:r>
              <w:t>Flagship</w:t>
            </w:r>
          </w:p>
        </w:tc>
        <w:tc>
          <w:tcPr>
            <w:tcW w:type="dxa" w:w="960"/>
          </w:tcPr>
          <w:p>
            <w:r>
              <w:t>-0.0357</w:t>
            </w:r>
          </w:p>
        </w:tc>
        <w:tc>
          <w:tcPr>
            <w:tcW w:type="dxa" w:w="960"/>
          </w:tcPr>
          <w:p>
            <w:r>
              <w:t>[-0.057, -0.015]</w:t>
            </w:r>
          </w:p>
        </w:tc>
        <w:tc>
          <w:tcPr>
            <w:tcW w:type="dxa" w:w="960"/>
          </w:tcPr>
          <w:p>
            <w:r>
              <w:t>-0.335</w:t>
            </w:r>
          </w:p>
        </w:tc>
        <w:tc>
          <w:tcPr>
            <w:tcW w:type="dxa" w:w="960"/>
          </w:tcPr>
          <w:p>
            <w:r>
              <w:t>-3.349</w:t>
            </w:r>
          </w:p>
        </w:tc>
        <w:tc>
          <w:tcPr>
            <w:tcW w:type="dxa" w:w="960"/>
          </w:tcPr>
          <w:p>
            <w:r>
              <w:t>0.001</w:t>
            </w:r>
          </w:p>
        </w:tc>
        <w:tc>
          <w:tcPr>
            <w:tcW w:type="dxa" w:w="960"/>
          </w:tcPr>
          <w:p>
            <w:r>
              <w:t>Sovereign</w:t>
            </w:r>
          </w:p>
        </w:tc>
      </w:tr>
    </w:tbl>
    <w:p>
      <w:r>
        <w:t>The results reveal a clear pattern: both Google models (Gemini Flash and Pro) exhibit significant Sovereign patterns with meaningful effect sizes (Cohen's d = -0.30 and -0.40 respectively). Both OpenAI models show Neutral patterns with negligible effect sizes. Anthropic shows tier differentiation, with Haiku (Efficient) exhibiting Neutral patterns and Opus (Flagship) exhibiting Sovereign patterns.</w:t>
      </w:r>
    </w:p>
    <w:p>
      <w:r>
        <w:t>Notably, no model exhibited a significant positive ΔRCI (Convergent pattern), indicating that—at least within this experimental paradigm—no tested model demonstrably benefits from conversation history.</w:t>
      </w:r>
    </w:p>
    <w:p>
      <w:pPr>
        <w:pStyle w:val="Heading2"/>
      </w:pPr>
      <w:r>
        <w:t>5.2 ANOVA Results</w:t>
      </w:r>
    </w:p>
    <w:p>
      <w:r>
        <w:t>Vendor Effect:</w:t>
      </w:r>
    </w:p>
    <w:p>
      <w:r>
        <w:t>One-way ANOVA revealed a significant main effect of vendor on ΔRCI:</w:t>
      </w:r>
    </w:p>
    <w:p>
      <w:pPr>
        <w:pStyle w:val="ListBullet"/>
      </w:pPr>
      <w:r>
        <w:t>F(2, 597) = 6.566</w:t>
      </w:r>
    </w:p>
    <w:p>
      <w:pPr>
        <w:pStyle w:val="ListBullet"/>
      </w:pPr>
      <w:r>
        <w:t>p = 0.0015</w:t>
      </w:r>
    </w:p>
    <w:p>
      <w:r>
        <w:t>This confirms H1: vendor-level architecture is a significant predictor of relational pattern.</w:t>
      </w:r>
    </w:p>
    <w:p>
      <w:r>
        <w:t>Post-hoc pairwise comparisons (Bonferroni-corrected α = 0.017):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Comparison</w:t>
            </w:r>
          </w:p>
        </w:tc>
        <w:tc>
          <w:tcPr>
            <w:tcW w:type="dxa" w:w="2160"/>
          </w:tcPr>
          <w:p>
            <w:r>
              <w:t>t</w:t>
            </w:r>
          </w:p>
        </w:tc>
        <w:tc>
          <w:tcPr>
            <w:tcW w:type="dxa" w:w="2160"/>
          </w:tcPr>
          <w:p>
            <w:r>
              <w:t>p</w:t>
            </w:r>
          </w:p>
        </w:tc>
        <w:tc>
          <w:tcPr>
            <w:tcW w:type="dxa" w:w="2160"/>
          </w:tcPr>
          <w:p>
            <w:r>
              <w:t>Significant?</w:t>
            </w:r>
          </w:p>
        </w:tc>
      </w:tr>
      <w:tr>
        <w:tc>
          <w:tcPr>
            <w:tcW w:type="dxa" w:w="2160"/>
          </w:tcPr>
          <w:p>
            <w:r>
              <w:t>OpenAI vs. Google</w:t>
            </w:r>
          </w:p>
        </w:tc>
        <w:tc>
          <w:tcPr>
            <w:tcW w:type="dxa" w:w="2160"/>
          </w:tcPr>
          <w:p>
            <w:r>
              <w:t>3.404</w:t>
            </w:r>
          </w:p>
        </w:tc>
        <w:tc>
          <w:tcPr>
            <w:tcW w:type="dxa" w:w="2160"/>
          </w:tcPr>
          <w:p>
            <w:r>
              <w:t>0.0007</w:t>
            </w:r>
          </w:p>
        </w:tc>
        <w:tc>
          <w:tcPr>
            <w:tcW w:type="dxa" w:w="2160"/>
          </w:tcPr>
          <w:p>
            <w:r>
              <w:t>Yes*</w:t>
            </w:r>
          </w:p>
        </w:tc>
      </w:tr>
      <w:tr>
        <w:tc>
          <w:tcPr>
            <w:tcW w:type="dxa" w:w="2160"/>
          </w:tcPr>
          <w:p>
            <w:r>
              <w:t>OpenAI vs. Anthropic</w:t>
            </w:r>
          </w:p>
        </w:tc>
        <w:tc>
          <w:tcPr>
            <w:tcW w:type="dxa" w:w="2160"/>
          </w:tcPr>
          <w:p>
            <w:r>
              <w:t>1.411</w:t>
            </w:r>
          </w:p>
        </w:tc>
        <w:tc>
          <w:tcPr>
            <w:tcW w:type="dxa" w:w="2160"/>
          </w:tcPr>
          <w:p>
            <w:r>
              <w:t>0.159</w:t>
            </w:r>
          </w:p>
        </w:tc>
        <w:tc>
          <w:tcPr>
            <w:tcW w:type="dxa" w:w="2160"/>
          </w:tcPr>
          <w:p>
            <w:r>
              <w:t>No</w:t>
            </w:r>
          </w:p>
        </w:tc>
      </w:tr>
      <w:tr>
        <w:tc>
          <w:tcPr>
            <w:tcW w:type="dxa" w:w="2160"/>
          </w:tcPr>
          <w:p>
            <w:r>
              <w:t>Google vs. Anthropic</w:t>
            </w:r>
          </w:p>
        </w:tc>
        <w:tc>
          <w:tcPr>
            <w:tcW w:type="dxa" w:w="2160"/>
          </w:tcPr>
          <w:p>
            <w:r>
              <w:t>-2.214</w:t>
            </w:r>
          </w:p>
        </w:tc>
        <w:tc>
          <w:tcPr>
            <w:tcW w:type="dxa" w:w="2160"/>
          </w:tcPr>
          <w:p>
            <w:r>
              <w:t>0.027</w:t>
            </w:r>
          </w:p>
        </w:tc>
        <w:tc>
          <w:tcPr>
            <w:tcW w:type="dxa" w:w="2160"/>
          </w:tcPr>
          <w:p>
            <w:r>
              <w:t>No</w:t>
            </w:r>
          </w:p>
        </w:tc>
      </w:tr>
    </w:tbl>
    <w:p>
      <w:r>
        <w:t>OpenAI differs significantly from Google, with the comparison surviving Bonferroni correction. The OpenAI-Anthropic and Google-Anthropic comparisons approach but do not reach corrected significance, consistent with Anthropic's intermediate position (one Neutral model, one Sovereign model).</w:t>
      </w:r>
    </w:p>
    <w:p>
      <w:r>
        <w:t>Vendor Means:</w:t>
      </w:r>
    </w:p>
    <w:p>
      <w:pPr>
        <w:pStyle w:val="ListBullet"/>
      </w:pPr>
      <w:r>
        <w:t>OpenAI: M = -0.0071 (SD = 0.116)</w:t>
      </w:r>
    </w:p>
    <w:p>
      <w:pPr>
        <w:pStyle w:val="ListBullet"/>
      </w:pPr>
      <w:r>
        <w:t>Google: M = -0.0521 (SD = 0.147)</w:t>
      </w:r>
    </w:p>
    <w:p>
      <w:pPr>
        <w:pStyle w:val="ListBullet"/>
      </w:pPr>
      <w:r>
        <w:t>Anthropic: M = -0.0232 (SD = 0.112)</w:t>
      </w:r>
    </w:p>
    <w:p>
      <w:r>
        <w:t>Tier Effect:</w:t>
      </w:r>
    </w:p>
    <w:p>
      <w:r>
        <w:t>One-way ANOVA for tier showed no significant effect:</w:t>
      </w:r>
    </w:p>
    <w:p>
      <w:pPr>
        <w:pStyle w:val="ListBullet"/>
      </w:pPr>
      <w:r>
        <w:t>F(1, 598) = 2.571</w:t>
      </w:r>
    </w:p>
    <w:p>
      <w:pPr>
        <w:pStyle w:val="ListBullet"/>
      </w:pPr>
      <w:r>
        <w:t>p = 0.109</w:t>
      </w:r>
    </w:p>
    <w:p>
      <w:r>
        <w:t>This confirms H2: capability tier does not predict relational pattern. The relational dimension is orthogonal to the capability dimension as traditionally measured.</w:t>
      </w:r>
    </w:p>
    <w:p>
      <w:pPr>
        <w:pStyle w:val="Heading2"/>
      </w:pPr>
      <w:r>
        <w:t>5.3 Non-Parametric Confirmation</w:t>
      </w:r>
    </w:p>
    <w:p>
      <w:r>
        <w:t>Given the importance of these findings, we conducted rigorous distributional assessment.</w:t>
      </w:r>
    </w:p>
    <w:p>
      <w:r>
        <w:t>Shapiro-Wilk Normality Tests: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W</w:t>
            </w:r>
          </w:p>
        </w:tc>
        <w:tc>
          <w:tcPr>
            <w:tcW w:type="dxa" w:w="2160"/>
          </w:tcPr>
          <w:p>
            <w:r>
              <w:t>p</w:t>
            </w:r>
          </w:p>
        </w:tc>
        <w:tc>
          <w:tcPr>
            <w:tcW w:type="dxa" w:w="2160"/>
          </w:tcPr>
          <w:p>
            <w:r>
              <w:t>Distribution</w:t>
            </w:r>
          </w:p>
        </w:tc>
      </w:tr>
      <w:tr>
        <w:tc>
          <w:tcPr>
            <w:tcW w:type="dxa" w:w="2160"/>
          </w:tcPr>
          <w:p>
            <w:r>
              <w:t>GPT-4o-mini</w:t>
            </w:r>
          </w:p>
        </w:tc>
        <w:tc>
          <w:tcPr>
            <w:tcW w:type="dxa" w:w="2160"/>
          </w:tcPr>
          <w:p>
            <w:r>
              <w:t>0.799</w:t>
            </w:r>
          </w:p>
        </w:tc>
        <w:tc>
          <w:tcPr>
            <w:tcW w:type="dxa" w:w="2160"/>
          </w:tcPr>
          <w:p>
            <w:r>
              <w:t>&lt;0.001</w:t>
            </w:r>
          </w:p>
        </w:tc>
        <w:tc>
          <w:tcPr>
            <w:tcW w:type="dxa" w:w="2160"/>
          </w:tcPr>
          <w:p>
            <w:r>
              <w:t>Non-normal</w:t>
            </w:r>
          </w:p>
        </w:tc>
      </w:tr>
      <w:tr>
        <w:tc>
          <w:tcPr>
            <w:tcW w:type="dxa" w:w="2160"/>
          </w:tcPr>
          <w:p>
            <w:r>
              <w:t>GPT-4o</w:t>
            </w:r>
          </w:p>
        </w:tc>
        <w:tc>
          <w:tcPr>
            <w:tcW w:type="dxa" w:w="2160"/>
          </w:tcPr>
          <w:p>
            <w:r>
              <w:t>0.855</w:t>
            </w:r>
          </w:p>
        </w:tc>
        <w:tc>
          <w:tcPr>
            <w:tcW w:type="dxa" w:w="2160"/>
          </w:tcPr>
          <w:p>
            <w:r>
              <w:t>&lt;0.001</w:t>
            </w:r>
          </w:p>
        </w:tc>
        <w:tc>
          <w:tcPr>
            <w:tcW w:type="dxa" w:w="2160"/>
          </w:tcPr>
          <w:p>
            <w:r>
              <w:t>Non-normal</w:t>
            </w:r>
          </w:p>
        </w:tc>
      </w:tr>
      <w:tr>
        <w:tc>
          <w:tcPr>
            <w:tcW w:type="dxa" w:w="2160"/>
          </w:tcPr>
          <w:p>
            <w:r>
              <w:t>Gemini Flash</w:t>
            </w:r>
          </w:p>
        </w:tc>
        <w:tc>
          <w:tcPr>
            <w:tcW w:type="dxa" w:w="2160"/>
          </w:tcPr>
          <w:p>
            <w:r>
              <w:t>0.957</w:t>
            </w:r>
          </w:p>
        </w:tc>
        <w:tc>
          <w:tcPr>
            <w:tcW w:type="dxa" w:w="2160"/>
          </w:tcPr>
          <w:p>
            <w:r>
              <w:t>0.003</w:t>
            </w:r>
          </w:p>
        </w:tc>
        <w:tc>
          <w:tcPr>
            <w:tcW w:type="dxa" w:w="2160"/>
          </w:tcPr>
          <w:p>
            <w:r>
              <w:t>Non-normal</w:t>
            </w:r>
          </w:p>
        </w:tc>
      </w:tr>
      <w:tr>
        <w:tc>
          <w:tcPr>
            <w:tcW w:type="dxa" w:w="2160"/>
          </w:tcPr>
          <w:p>
            <w:r>
              <w:t>Gemini Pro</w:t>
            </w:r>
          </w:p>
        </w:tc>
        <w:tc>
          <w:tcPr>
            <w:tcW w:type="dxa" w:w="2160"/>
          </w:tcPr>
          <w:p>
            <w:r>
              <w:t>0.902</w:t>
            </w:r>
          </w:p>
        </w:tc>
        <w:tc>
          <w:tcPr>
            <w:tcW w:type="dxa" w:w="2160"/>
          </w:tcPr>
          <w:p>
            <w:r>
              <w:t>&lt;0.001</w:t>
            </w:r>
          </w:p>
        </w:tc>
        <w:tc>
          <w:tcPr>
            <w:tcW w:type="dxa" w:w="2160"/>
          </w:tcPr>
          <w:p>
            <w:r>
              <w:t>Non-normal</w:t>
            </w:r>
          </w:p>
        </w:tc>
      </w:tr>
      <w:tr>
        <w:tc>
          <w:tcPr>
            <w:tcW w:type="dxa" w:w="2160"/>
          </w:tcPr>
          <w:p>
            <w:r>
              <w:t>Claude Haiku</w:t>
            </w:r>
          </w:p>
        </w:tc>
        <w:tc>
          <w:tcPr>
            <w:tcW w:type="dxa" w:w="2160"/>
          </w:tcPr>
          <w:p>
            <w:r>
              <w:t>0.958</w:t>
            </w:r>
          </w:p>
        </w:tc>
        <w:tc>
          <w:tcPr>
            <w:tcW w:type="dxa" w:w="2160"/>
          </w:tcPr>
          <w:p>
            <w:r>
              <w:t>0.003</w:t>
            </w:r>
          </w:p>
        </w:tc>
        <w:tc>
          <w:tcPr>
            <w:tcW w:type="dxa" w:w="2160"/>
          </w:tcPr>
          <w:p>
            <w:r>
              <w:t>Non-normal</w:t>
            </w:r>
          </w:p>
        </w:tc>
      </w:tr>
      <w:tr>
        <w:tc>
          <w:tcPr>
            <w:tcW w:type="dxa" w:w="2160"/>
          </w:tcPr>
          <w:p>
            <w:r>
              <w:t>Claude Opus</w:t>
            </w:r>
          </w:p>
        </w:tc>
        <w:tc>
          <w:tcPr>
            <w:tcW w:type="dxa" w:w="2160"/>
          </w:tcPr>
          <w:p>
            <w:r>
              <w:t>0.985</w:t>
            </w:r>
          </w:p>
        </w:tc>
        <w:tc>
          <w:tcPr>
            <w:tcW w:type="dxa" w:w="2160"/>
          </w:tcPr>
          <w:p>
            <w:r>
              <w:t>0.335</w:t>
            </w:r>
          </w:p>
        </w:tc>
        <w:tc>
          <w:tcPr>
            <w:tcW w:type="dxa" w:w="2160"/>
          </w:tcPr>
          <w:p>
            <w:r>
              <w:t>Normal</w:t>
            </w:r>
          </w:p>
        </w:tc>
      </w:tr>
    </w:tbl>
    <w:p>
      <w:r>
        <w:t>Five of six models exhibited significantly non-normal ΔRCI distributions, validating the importance of non-parametric confirmation.</w:t>
      </w:r>
    </w:p>
    <w:p>
      <w:r>
        <w:t>Wilcoxon Signed-Rank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Wilcoxon W</w:t>
            </w:r>
          </w:p>
        </w:tc>
        <w:tc>
          <w:tcPr>
            <w:tcW w:type="dxa" w:w="1728"/>
          </w:tcPr>
          <w:p>
            <w:r>
              <w:t>p (Wilcoxon)</w:t>
            </w:r>
          </w:p>
        </w:tc>
        <w:tc>
          <w:tcPr>
            <w:tcW w:type="dxa" w:w="1728"/>
          </w:tcPr>
          <w:p>
            <w:r>
              <w:t>p (t-test)</w:t>
            </w:r>
          </w:p>
        </w:tc>
        <w:tc>
          <w:tcPr>
            <w:tcW w:type="dxa" w:w="1728"/>
          </w:tcPr>
          <w:p>
            <w:r>
              <w:t>Agreement?</w:t>
            </w:r>
          </w:p>
        </w:tc>
      </w:tr>
      <w:tr>
        <w:tc>
          <w:tcPr>
            <w:tcW w:type="dxa" w:w="1728"/>
          </w:tcPr>
          <w:p>
            <w:r>
              <w:t>GPT-4o-mini</w:t>
            </w:r>
          </w:p>
        </w:tc>
        <w:tc>
          <w:tcPr>
            <w:tcW w:type="dxa" w:w="1728"/>
          </w:tcPr>
          <w:p>
            <w:r>
              <w:t>2264.0</w:t>
            </w:r>
          </w:p>
        </w:tc>
        <w:tc>
          <w:tcPr>
            <w:tcW w:type="dxa" w:w="1728"/>
          </w:tcPr>
          <w:p>
            <w:r>
              <w:t>0.370</w:t>
            </w:r>
          </w:p>
        </w:tc>
        <w:tc>
          <w:tcPr>
            <w:tcW w:type="dxa" w:w="1728"/>
          </w:tcPr>
          <w:p>
            <w:r>
              <w:t>0.457</w:t>
            </w:r>
          </w:p>
        </w:tc>
        <w:tc>
          <w:tcPr>
            <w:tcW w:type="dxa" w:w="1728"/>
          </w:tcPr>
          <w:p>
            <w:r>
              <w:t>Yes</w:t>
            </w:r>
          </w:p>
        </w:tc>
      </w:tr>
      <w:tr>
        <w:tc>
          <w:tcPr>
            <w:tcW w:type="dxa" w:w="1728"/>
          </w:tcPr>
          <w:p>
            <w:r>
              <w:t>GPT-4o</w:t>
            </w:r>
          </w:p>
        </w:tc>
        <w:tc>
          <w:tcPr>
            <w:tcW w:type="dxa" w:w="1728"/>
          </w:tcPr>
          <w:p>
            <w:r>
              <w:t>2150.0</w:t>
            </w:r>
          </w:p>
        </w:tc>
        <w:tc>
          <w:tcPr>
            <w:tcW w:type="dxa" w:w="1728"/>
          </w:tcPr>
          <w:p>
            <w:r>
              <w:t>0.515</w:t>
            </w:r>
          </w:p>
        </w:tc>
        <w:tc>
          <w:tcPr>
            <w:tcW w:type="dxa" w:w="1728"/>
          </w:tcPr>
          <w:p>
            <w:r>
              <w:t>0.648</w:t>
            </w:r>
          </w:p>
        </w:tc>
        <w:tc>
          <w:tcPr>
            <w:tcW w:type="dxa" w:w="1728"/>
          </w:tcPr>
          <w:p>
            <w:r>
              <w:t>Yes</w:t>
            </w:r>
          </w:p>
        </w:tc>
      </w:tr>
      <w:tr>
        <w:tc>
          <w:tcPr>
            <w:tcW w:type="dxa" w:w="1728"/>
          </w:tcPr>
          <w:p>
            <w:r>
              <w:t>Gemini Flash</w:t>
            </w:r>
          </w:p>
        </w:tc>
        <w:tc>
          <w:tcPr>
            <w:tcW w:type="dxa" w:w="1728"/>
          </w:tcPr>
          <w:p>
            <w:r>
              <w:t>1488.0</w:t>
            </w:r>
          </w:p>
        </w:tc>
        <w:tc>
          <w:tcPr>
            <w:tcW w:type="dxa" w:w="1728"/>
          </w:tcPr>
          <w:p>
            <w:r>
              <w:t>0.0004</w:t>
            </w:r>
          </w:p>
        </w:tc>
        <w:tc>
          <w:tcPr>
            <w:tcW w:type="dxa" w:w="1728"/>
          </w:tcPr>
          <w:p>
            <w:r>
              <w:t>0.003</w:t>
            </w:r>
          </w:p>
        </w:tc>
        <w:tc>
          <w:tcPr>
            <w:tcW w:type="dxa" w:w="1728"/>
          </w:tcPr>
          <w:p>
            <w:r>
              <w:t>Yes</w:t>
            </w:r>
          </w:p>
        </w:tc>
      </w:tr>
      <w:tr>
        <w:tc>
          <w:tcPr>
            <w:tcW w:type="dxa" w:w="1728"/>
          </w:tcPr>
          <w:p>
            <w:r>
              <w:t>Gemini Pro</w:t>
            </w:r>
          </w:p>
        </w:tc>
        <w:tc>
          <w:tcPr>
            <w:tcW w:type="dxa" w:w="1728"/>
          </w:tcPr>
          <w:p>
            <w:r>
              <w:t>1453.0</w:t>
            </w:r>
          </w:p>
        </w:tc>
        <w:tc>
          <w:tcPr>
            <w:tcW w:type="dxa" w:w="1728"/>
          </w:tcPr>
          <w:p>
            <w:r>
              <w:t>0.0002</w:t>
            </w:r>
          </w:p>
        </w:tc>
        <w:tc>
          <w:tcPr>
            <w:tcW w:type="dxa" w:w="1728"/>
          </w:tcPr>
          <w:p>
            <w:r>
              <w:t>&lt;0.001</w:t>
            </w:r>
          </w:p>
        </w:tc>
        <w:tc>
          <w:tcPr>
            <w:tcW w:type="dxa" w:w="1728"/>
          </w:tcPr>
          <w:p>
            <w:r>
              <w:t>Yes</w:t>
            </w:r>
          </w:p>
        </w:tc>
      </w:tr>
      <w:tr>
        <w:tc>
          <w:tcPr>
            <w:tcW w:type="dxa" w:w="1728"/>
          </w:tcPr>
          <w:p>
            <w:r>
              <w:t>Claude Haiku</w:t>
            </w:r>
          </w:p>
        </w:tc>
        <w:tc>
          <w:tcPr>
            <w:tcW w:type="dxa" w:w="1728"/>
          </w:tcPr>
          <w:p>
            <w:r>
              <w:t>2466.0</w:t>
            </w:r>
          </w:p>
        </w:tc>
        <w:tc>
          <w:tcPr>
            <w:tcW w:type="dxa" w:w="1728"/>
          </w:tcPr>
          <w:p>
            <w:r>
              <w:t>0.839</w:t>
            </w:r>
          </w:p>
        </w:tc>
        <w:tc>
          <w:tcPr>
            <w:tcW w:type="dxa" w:w="1728"/>
          </w:tcPr>
          <w:p>
            <w:r>
              <w:t>0.366</w:t>
            </w:r>
          </w:p>
        </w:tc>
        <w:tc>
          <w:tcPr>
            <w:tcW w:type="dxa" w:w="1728"/>
          </w:tcPr>
          <w:p>
            <w:r>
              <w:t>Yes</w:t>
            </w:r>
          </w:p>
        </w:tc>
      </w:tr>
      <w:tr>
        <w:tc>
          <w:tcPr>
            <w:tcW w:type="dxa" w:w="1728"/>
          </w:tcPr>
          <w:p>
            <w:r>
              <w:t>Claude Opus</w:t>
            </w:r>
          </w:p>
        </w:tc>
        <w:tc>
          <w:tcPr>
            <w:tcW w:type="dxa" w:w="1728"/>
          </w:tcPr>
          <w:p>
            <w:r>
              <w:t>1681.0</w:t>
            </w:r>
          </w:p>
        </w:tc>
        <w:tc>
          <w:tcPr>
            <w:tcW w:type="dxa" w:w="1728"/>
          </w:tcPr>
          <w:p>
            <w:r>
              <w:t>0.004</w:t>
            </w:r>
          </w:p>
        </w:tc>
        <w:tc>
          <w:tcPr>
            <w:tcW w:type="dxa" w:w="1728"/>
          </w:tcPr>
          <w:p>
            <w:r>
              <w:t>0.001</w:t>
            </w:r>
          </w:p>
        </w:tc>
        <w:tc>
          <w:tcPr>
            <w:tcW w:type="dxa" w:w="1728"/>
          </w:tcPr>
          <w:p>
            <w:r>
              <w:t>Yes</w:t>
            </w:r>
          </w:p>
        </w:tc>
      </w:tr>
    </w:tbl>
    <w:p>
      <w:r>
        <w:t>All Wilcoxon tests agreed with t-test conclusions regarding significance, confirming that findings are robust to distributional assumptions. This concordance strengthens confidence in the reliability of the observed patterns.</w:t>
      </w:r>
    </w:p>
    <w:p>
      <w:pPr>
        <w:pStyle w:val="Heading2"/>
      </w:pPr>
      <w:r>
        <w:t>5.4 Scrambled Condition Analysis</w:t>
      </w:r>
    </w:p>
    <w:p>
      <w:r>
        <w:t>To distinguish whether Sovereign patterns reflect sensitivity to history content versus mere history presence, we compared Cold and Scrambled baselines.</w:t>
      </w:r>
    </w:p>
    <w:p>
      <w:r>
        <w:t>Table 2: Scrambled Condition Analysis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ΔRCI vs. Cold</w:t>
            </w:r>
          </w:p>
        </w:tc>
        <w:tc>
          <w:tcPr>
            <w:tcW w:type="dxa" w:w="1440"/>
          </w:tcPr>
          <w:p>
            <w:r>
              <w:t>ΔRCI vs. Scrambled</w:t>
            </w:r>
          </w:p>
        </w:tc>
        <w:tc>
          <w:tcPr>
            <w:tcW w:type="dxa" w:w="1440"/>
          </w:tcPr>
          <w:p>
            <w:r>
              <w:t>Difference</w:t>
            </w:r>
          </w:p>
        </w:tc>
        <w:tc>
          <w:tcPr>
            <w:tcW w:type="dxa" w:w="1440"/>
          </w:tcPr>
          <w:p>
            <w:r>
              <w:t>p (paired)</w:t>
            </w:r>
          </w:p>
        </w:tc>
        <w:tc>
          <w:tcPr>
            <w:tcW w:type="dxa" w:w="1440"/>
          </w:tcPr>
          <w:p>
            <w:r>
              <w:t>Interpretation</w:t>
            </w:r>
          </w:p>
        </w:tc>
      </w:tr>
      <w:tr>
        <w:tc>
          <w:tcPr>
            <w:tcW w:type="dxa" w:w="1440"/>
          </w:tcPr>
          <w:p>
            <w:r>
              <w:t>GPT-4o-mini</w:t>
            </w:r>
          </w:p>
        </w:tc>
        <w:tc>
          <w:tcPr>
            <w:tcW w:type="dxa" w:w="1440"/>
          </w:tcPr>
          <w:p>
            <w:r>
              <w:t>-0.009</w:t>
            </w:r>
          </w:p>
        </w:tc>
        <w:tc>
          <w:tcPr>
            <w:tcW w:type="dxa" w:w="1440"/>
          </w:tcPr>
          <w:p>
            <w:r>
              <w:t>+0.004</w:t>
            </w:r>
          </w:p>
        </w:tc>
        <w:tc>
          <w:tcPr>
            <w:tcW w:type="dxa" w:w="1440"/>
          </w:tcPr>
          <w:p>
            <w:r>
              <w:t>-0.013</w:t>
            </w:r>
          </w:p>
        </w:tc>
        <w:tc>
          <w:tcPr>
            <w:tcW w:type="dxa" w:w="1440"/>
          </w:tcPr>
          <w:p>
            <w:r>
              <w:t>0.303</w:t>
            </w:r>
          </w:p>
        </w:tc>
        <w:tc>
          <w:tcPr>
            <w:tcW w:type="dxa" w:w="1440"/>
          </w:tcPr>
          <w:p>
            <w:r>
              <w:t>No difference</w:t>
            </w:r>
          </w:p>
        </w:tc>
      </w:tr>
      <w:tr>
        <w:tc>
          <w:tcPr>
            <w:tcW w:type="dxa" w:w="1440"/>
          </w:tcPr>
          <w:p>
            <w:r>
              <w:t>GPT-4o</w:t>
            </w:r>
          </w:p>
        </w:tc>
        <w:tc>
          <w:tcPr>
            <w:tcW w:type="dxa" w:w="1440"/>
          </w:tcPr>
          <w:p>
            <w:r>
              <w:t>-0.005</w:t>
            </w:r>
          </w:p>
        </w:tc>
        <w:tc>
          <w:tcPr>
            <w:tcW w:type="dxa" w:w="1440"/>
          </w:tcPr>
          <w:p>
            <w:r>
              <w:t>-0.002</w:t>
            </w:r>
          </w:p>
        </w:tc>
        <w:tc>
          <w:tcPr>
            <w:tcW w:type="dxa" w:w="1440"/>
          </w:tcPr>
          <w:p>
            <w:r>
              <w:t>-0.003</w:t>
            </w:r>
          </w:p>
        </w:tc>
        <w:tc>
          <w:tcPr>
            <w:tcW w:type="dxa" w:w="1440"/>
          </w:tcPr>
          <w:p>
            <w:r>
              <w:t>0.815</w:t>
            </w:r>
          </w:p>
        </w:tc>
        <w:tc>
          <w:tcPr>
            <w:tcW w:type="dxa" w:w="1440"/>
          </w:tcPr>
          <w:p>
            <w:r>
              <w:t>No difference</w:t>
            </w:r>
          </w:p>
        </w:tc>
      </w:tr>
      <w:tr>
        <w:tc>
          <w:tcPr>
            <w:tcW w:type="dxa" w:w="1440"/>
          </w:tcPr>
          <w:p>
            <w:r>
              <w:t>Gemini Flash</w:t>
            </w:r>
          </w:p>
        </w:tc>
        <w:tc>
          <w:tcPr>
            <w:tcW w:type="dxa" w:w="1440"/>
          </w:tcPr>
          <w:p>
            <w:r>
              <w:t>-0.038</w:t>
            </w:r>
          </w:p>
        </w:tc>
        <w:tc>
          <w:tcPr>
            <w:tcW w:type="dxa" w:w="1440"/>
          </w:tcPr>
          <w:p>
            <w:r>
              <w:t>+0.009</w:t>
            </w:r>
          </w:p>
        </w:tc>
        <w:tc>
          <w:tcPr>
            <w:tcW w:type="dxa" w:w="1440"/>
          </w:tcPr>
          <w:p>
            <w:r>
              <w:t>-0.047</w:t>
            </w:r>
          </w:p>
        </w:tc>
        <w:tc>
          <w:tcPr>
            <w:tcW w:type="dxa" w:w="1440"/>
          </w:tcPr>
          <w:p>
            <w:r>
              <w:t>0.0003</w:t>
            </w:r>
          </w:p>
        </w:tc>
        <w:tc>
          <w:tcPr>
            <w:tcW w:type="dxa" w:w="1440"/>
          </w:tcPr>
          <w:p>
            <w:r>
              <w:t>Content matters</w:t>
            </w:r>
          </w:p>
        </w:tc>
      </w:tr>
      <w:tr>
        <w:tc>
          <w:tcPr>
            <w:tcW w:type="dxa" w:w="1440"/>
          </w:tcPr>
          <w:p>
            <w:r>
              <w:t>Gemini Pro</w:t>
            </w:r>
          </w:p>
        </w:tc>
        <w:tc>
          <w:tcPr>
            <w:tcW w:type="dxa" w:w="1440"/>
          </w:tcPr>
          <w:p>
            <w:r>
              <w:t>-0.067</w:t>
            </w:r>
          </w:p>
        </w:tc>
        <w:tc>
          <w:tcPr>
            <w:tcW w:type="dxa" w:w="1440"/>
          </w:tcPr>
          <w:p>
            <w:r>
              <w:t>+0.017</w:t>
            </w:r>
          </w:p>
        </w:tc>
        <w:tc>
          <w:tcPr>
            <w:tcW w:type="dxa" w:w="1440"/>
          </w:tcPr>
          <w:p>
            <w:r>
              <w:t>-0.084</w:t>
            </w:r>
          </w:p>
        </w:tc>
        <w:tc>
          <w:tcPr>
            <w:tcW w:type="dxa" w:w="1440"/>
          </w:tcPr>
          <w:p>
            <w:r>
              <w:t>&lt;0.0001</w:t>
            </w:r>
          </w:p>
        </w:tc>
        <w:tc>
          <w:tcPr>
            <w:tcW w:type="dxa" w:w="1440"/>
          </w:tcPr>
          <w:p>
            <w:r>
              <w:t>Content matters</w:t>
            </w:r>
          </w:p>
        </w:tc>
      </w:tr>
      <w:tr>
        <w:tc>
          <w:tcPr>
            <w:tcW w:type="dxa" w:w="1440"/>
          </w:tcPr>
          <w:p>
            <w:r>
              <w:t>Claude Haiku</w:t>
            </w:r>
          </w:p>
        </w:tc>
        <w:tc>
          <w:tcPr>
            <w:tcW w:type="dxa" w:w="1440"/>
          </w:tcPr>
          <w:p>
            <w:r>
              <w:t>-0.011</w:t>
            </w:r>
          </w:p>
        </w:tc>
        <w:tc>
          <w:tcPr>
            <w:tcW w:type="dxa" w:w="1440"/>
          </w:tcPr>
          <w:p>
            <w:r>
              <w:t>-0.004</w:t>
            </w:r>
          </w:p>
        </w:tc>
        <w:tc>
          <w:tcPr>
            <w:tcW w:type="dxa" w:w="1440"/>
          </w:tcPr>
          <w:p>
            <w:r>
              <w:t>-0.007</w:t>
            </w:r>
          </w:p>
        </w:tc>
        <w:tc>
          <w:tcPr>
            <w:tcW w:type="dxa" w:w="1440"/>
          </w:tcPr>
          <w:p>
            <w:r>
              <w:t>0.587</w:t>
            </w:r>
          </w:p>
        </w:tc>
        <w:tc>
          <w:tcPr>
            <w:tcW w:type="dxa" w:w="1440"/>
          </w:tcPr>
          <w:p>
            <w:r>
              <w:t>No difference</w:t>
            </w:r>
          </w:p>
        </w:tc>
      </w:tr>
      <w:tr>
        <w:tc>
          <w:tcPr>
            <w:tcW w:type="dxa" w:w="1440"/>
          </w:tcPr>
          <w:p>
            <w:r>
              <w:t>Claude Opus</w:t>
            </w:r>
          </w:p>
        </w:tc>
        <w:tc>
          <w:tcPr>
            <w:tcW w:type="dxa" w:w="1440"/>
          </w:tcPr>
          <w:p>
            <w:r>
              <w:t>-0.036</w:t>
            </w:r>
          </w:p>
        </w:tc>
        <w:tc>
          <w:tcPr>
            <w:tcW w:type="dxa" w:w="1440"/>
          </w:tcPr>
          <w:p>
            <w:r>
              <w:t>+0.006</w:t>
            </w:r>
          </w:p>
        </w:tc>
        <w:tc>
          <w:tcPr>
            <w:tcW w:type="dxa" w:w="1440"/>
          </w:tcPr>
          <w:p>
            <w:r>
              <w:t>-0.042</w:t>
            </w:r>
          </w:p>
        </w:tc>
        <w:tc>
          <w:tcPr>
            <w:tcW w:type="dxa" w:w="1440"/>
          </w:tcPr>
          <w:p>
            <w:r>
              <w:t>&lt;0.0001</w:t>
            </w:r>
          </w:p>
        </w:tc>
        <w:tc>
          <w:tcPr>
            <w:tcW w:type="dxa" w:w="1440"/>
          </w:tcPr>
          <w:p>
            <w:r>
              <w:t>Content matters</w:t>
            </w:r>
          </w:p>
        </w:tc>
      </w:tr>
    </w:tbl>
    <w:p>
      <w:r>
        <w:t>For Neutral models (OpenAI and Claude Haiku), there is no significant difference between Cold and Scrambled conditions—history presence has no effect, whether ordered or disordered.</w:t>
      </w:r>
    </w:p>
    <w:p>
      <w:r>
        <w:t>For Sovereign models (Google and Claude Opus), responses to True history differ significantly from responses to Scrambled history. This indicates that the Sovereign pattern reflects sensitivity to history content rather than mere history presence. These models are not simply distracted by any preceding text; they are specifically affected by the semantic structure of ordered conversation.</w:t>
      </w:r>
    </w:p>
    <w:p>
      <w:r>
        <w:t>This finding has important implications: Sovereign models are actively processing conversational meaning, but that processing produces interference rather than enhancement for the experimental task.</w:t>
      </w:r>
    </w:p>
    <w:p>
      <w:pPr>
        <w:pStyle w:val="Heading2"/>
      </w:pPr>
      <w:r>
        <w:t>5.5 Cross-Model Correlations</w:t>
      </w:r>
    </w:p>
    <w:p>
      <w:r>
        <w:t>We computed trial-by-trial Pearson correlations between all model pairs to assess whether relational patterns generalize across vendors.</w:t>
      </w:r>
    </w:p>
    <w:p>
      <w:r>
        <w:t>Within-Vendor Correlations:</w:t>
      </w:r>
    </w:p>
    <w:p>
      <w:pPr>
        <w:pStyle w:val="ListBullet"/>
      </w:pPr>
      <w:r>
        <w:t>OpenAI (GPT-4o-mini &lt;-&gt; GPT-4o): r = +0.448 (p &lt; 0.001)</w:t>
      </w:r>
    </w:p>
    <w:p>
      <w:pPr>
        <w:pStyle w:val="ListBullet"/>
      </w:pPr>
      <w:r>
        <w:t>Google (Gemini Flash &lt;-&gt; Gemini Pro): r = -0.015 (p = 0.88)</w:t>
      </w:r>
    </w:p>
    <w:p>
      <w:pPr>
        <w:pStyle w:val="ListBullet"/>
      </w:pPr>
      <w:r>
        <w:t>Anthropic (Claude Haiku &lt;-&gt; Claude Opus): r = +0.134 (p = 0.18)</w:t>
      </w:r>
    </w:p>
    <w:p>
      <w:r>
        <w:t>Cross-Vendor Mean Correlation: r = +0.002</w:t>
      </w:r>
    </w:p>
    <w:p>
      <w:r>
        <w:t>Within-Vendor Mean Correlation: r = +0.189</w:t>
      </w:r>
    </w:p>
    <w:p>
      <w:r>
        <w:t>The within-vendor correlation for OpenAI is notably high (r = 0.448), indicating that the same trials that produce higher ΔRCI for GPT-4o-mini also produce higher ΔRCI for GPT-4o. This suggests shared architectural processing of conversational context within the OpenAI family.</w:t>
      </w:r>
    </w:p>
    <w:p>
      <w:r>
        <w:t>The near-zero Google within-vendor correlation is surprising but may reflect distinct optimization targets for Flash (speed) versus Pro (reasoning) that affect context processing differently.</w:t>
      </w:r>
    </w:p>
    <w:p>
      <w:r>
        <w:t>The overall pattern—higher within-vendor than cross-vendor correlations—partially supports H3, though the effect is driven primarily by OpenAI's strong within-family consistency.</w:t>
      </w:r>
    </w:p>
    <w:p>
      <w:r>
        <w:t>__________________________________________________</w:t>
      </w:r>
    </w:p>
    <w:p>
      <w:pPr>
        <w:pStyle w:val="Heading1"/>
      </w:pPr>
      <w:r>
        <w:t>6. Discussion</w:t>
      </w:r>
    </w:p>
    <w:p>
      <w:pPr>
        <w:pStyle w:val="Heading2"/>
      </w:pPr>
      <w:r>
        <w:t>6.1 Vendor Architecture Signatures</w:t>
      </w:r>
    </w:p>
    <w:p>
      <w:r>
        <w:t>Our results reveal that vendor-level architectural decisions create distinctive and measurable "relational signatures" that persist across capability tiers. This finding challenges the implicit assumption that model selection should be based primarily on capability benchmarks.</w:t>
      </w:r>
    </w:p>
    <w:p>
      <w:r>
        <w:t>The Google Signature: Both Gemini Flash and Gemini Pro exhibit consistent Sovereign patterns (ΔRCI = -0.038 and -0.067 respectively), with the flagship model showing an even more pronounced effect. This suggests that Google's architectural approach—potentially related to their multimodal training, context compression strategies, or attention mechanisms—creates systematic interference between conversational history and prompt-aligned response generation.</w:t>
      </w:r>
    </w:p>
    <w:p>
      <w:r>
        <w:t>The Sovereign pattern should not be interpreted as a deficiency. For tasks requiring independent judgment—such as medical diagnosis, legal analysis, or any context where prior conversation might introduce bias—a Sovereign architecture may be preferable. The model's resistance to contextual influence becomes an asset when that influence might be misleading.</w:t>
      </w:r>
    </w:p>
    <w:p>
      <w:r>
        <w:t>The OpenAI Signature: Both GPT-4o-mini and GPT-4o exhibit Neutral patterns, with ΔRCI values close to zero and non-significant p-values. These models process prompts with or without history in statistically equivalent ways, suggesting an architecture optimized for consistent performance regardless of conversational context.</w:t>
      </w:r>
    </w:p>
    <w:p>
      <w:r>
        <w:t>The Neutral pattern indicates that OpenAI's training and architecture produce neither benefit nor cost from conversational history—at least for the philosophical reasoning task examined. This may reflect RLHF optimization that prioritizes consistent quality over contextual adaptation.</w:t>
      </w:r>
    </w:p>
    <w:p>
      <w:r>
        <w:t>The Anthropic Signature: Uniquely among vendors, Anthropic shows tier differentiation: Claude Haiku (Efficient) exhibits a Neutral pattern while Claude Opus (Flagship) exhibits a Sovereign pattern. This suggests that Anthropic's scaling approach introduces qualitative changes in context processing, not merely quantitative improvements in capability.</w:t>
      </w:r>
    </w:p>
    <w:p>
      <w:r>
        <w:t>This tier differentiation may reflect Anthropic's "Constitutional AI" approach, where larger models receive more extensive training on principle-based reasoning. Such training might create stronger "principled independence" from potentially biasing contextual influences—manifesting as a Sovereign pattern at the flagship tier.</w:t>
      </w:r>
    </w:p>
    <w:p>
      <w:pPr>
        <w:pStyle w:val="Heading2"/>
      </w:pPr>
      <w:r>
        <w:t>6.2 Mechanistic Hypotheses</w:t>
      </w:r>
    </w:p>
    <w:p>
      <w:r>
        <w:t>While definitive mechanistic explanation requires architectural access beyond our scope, we propose several hypotheses for the observed patterns:</w:t>
      </w:r>
    </w:p>
    <w:p>
      <w:r>
        <w:t>Attention Mechanism Variation: Different attention implementations may weight conversational history differently. Google's potentially more aggressive context compression might create interference patterns, while OpenAI's approach may effectively isolate current-prompt processing.</w:t>
      </w:r>
    </w:p>
    <w:p>
      <w:r>
        <w:t>Training Objective Differences: Models optimized for consistent helpfulness across contexts (OpenAI's RLHF emphasis) may develop Neutral patterns, while models optimized for principled reasoning (Anthropic's Constitutional AI) may develop context-resistant Sovereign patterns at sufficient scale.</w:t>
      </w:r>
    </w:p>
    <w:p>
      <w:r>
        <w:t>Context Window Implementation: Differences in how models represent and process context windows—including positional encoding schemes and attention masking strategies—could create systematic variation in history utilization.</w:t>
      </w:r>
    </w:p>
    <w:p>
      <w:r>
        <w:t>Multimodal Training Effects: Google's emphasis on multimodal training may create context-processing patterns optimized for image-text integration that produce interference when applied to purely conversational contexts.</w:t>
      </w:r>
    </w:p>
    <w:p>
      <w:r>
        <w:t>These hypotheses generate testable predictions for future research with architectural access.</w:t>
      </w:r>
    </w:p>
    <w:p>
      <w:pPr>
        <w:pStyle w:val="Heading2"/>
      </w:pPr>
      <w:r>
        <w:t>6.3 Practical Implications: Task-Architecture Matching</w:t>
      </w:r>
    </w:p>
    <w:p>
      <w:r>
        <w:t>Our findings enable a principled approach to model selection based on task characteristics:</w:t>
      </w:r>
    </w:p>
    <w:p>
      <w:r>
        <w:t>Table 3: Task-Architecture Matching Guidelines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 Type</w:t>
            </w:r>
          </w:p>
        </w:tc>
        <w:tc>
          <w:tcPr>
            <w:tcW w:type="dxa" w:w="2160"/>
          </w:tcPr>
          <w:p>
            <w:r>
              <w:t>Optimal Pattern</w:t>
            </w:r>
          </w:p>
        </w:tc>
        <w:tc>
          <w:tcPr>
            <w:tcW w:type="dxa" w:w="2160"/>
          </w:tcPr>
          <w:p>
            <w:r>
              <w:t>Recommended Models</w:t>
            </w:r>
          </w:p>
        </w:tc>
        <w:tc>
          <w:tcPr>
            <w:tcW w:type="dxa" w:w="2160"/>
          </w:tcPr>
          <w:p>
            <w:r>
              <w:t>Rationale</w:t>
            </w:r>
          </w:p>
        </w:tc>
      </w:tr>
      <w:tr>
        <w:tc>
          <w:tcPr>
            <w:tcW w:type="dxa" w:w="2160"/>
          </w:tcPr>
          <w:p>
            <w:r>
              <w:t>Medical diagnosis</w:t>
            </w:r>
          </w:p>
        </w:tc>
        <w:tc>
          <w:tcPr>
            <w:tcW w:type="dxa" w:w="2160"/>
          </w:tcPr>
          <w:p>
            <w:r>
              <w:t>Sovereign</w:t>
            </w:r>
          </w:p>
        </w:tc>
        <w:tc>
          <w:tcPr>
            <w:tcW w:type="dxa" w:w="2160"/>
          </w:tcPr>
          <w:p>
            <w:r>
              <w:t>Gemini Flash/Pro, Claude Opus</w:t>
            </w:r>
          </w:p>
        </w:tc>
        <w:tc>
          <w:tcPr>
            <w:tcW w:type="dxa" w:w="2160"/>
          </w:tcPr>
          <w:p>
            <w:r>
              <w:t>Prior conversation should not bias clinical judgment</w:t>
            </w:r>
          </w:p>
        </w:tc>
      </w:tr>
      <w:tr>
        <w:tc>
          <w:tcPr>
            <w:tcW w:type="dxa" w:w="2160"/>
          </w:tcPr>
          <w:p>
            <w:r>
              <w:t>Legal analysis</w:t>
            </w:r>
          </w:p>
        </w:tc>
        <w:tc>
          <w:tcPr>
            <w:tcW w:type="dxa" w:w="2160"/>
          </w:tcPr>
          <w:p>
            <w:r>
              <w:t>Sovereign</w:t>
            </w:r>
          </w:p>
        </w:tc>
        <w:tc>
          <w:tcPr>
            <w:tcW w:type="dxa" w:w="2160"/>
          </w:tcPr>
          <w:p>
            <w:r>
              <w:t>Gemini Flash/Pro, Claude Opus</w:t>
            </w:r>
          </w:p>
        </w:tc>
        <w:tc>
          <w:tcPr>
            <w:tcW w:type="dxa" w:w="2160"/>
          </w:tcPr>
          <w:p>
            <w:r>
              <w:t>Independence from potentially misleading context</w:t>
            </w:r>
          </w:p>
        </w:tc>
      </w:tr>
      <w:tr>
        <w:tc>
          <w:tcPr>
            <w:tcW w:type="dxa" w:w="2160"/>
          </w:tcPr>
          <w:p>
            <w:r>
              <w:t>Educational tutoring</w:t>
            </w:r>
          </w:p>
        </w:tc>
        <w:tc>
          <w:tcPr>
            <w:tcW w:type="dxa" w:w="2160"/>
          </w:tcPr>
          <w:p>
            <w:r>
              <w:t>Neutral</w:t>
            </w:r>
          </w:p>
        </w:tc>
        <w:tc>
          <w:tcPr>
            <w:tcW w:type="dxa" w:w="2160"/>
          </w:tcPr>
          <w:p>
            <w:r>
              <w:t>GPT-4o-mini/4o, Claude Haiku</w:t>
            </w:r>
          </w:p>
        </w:tc>
        <w:tc>
          <w:tcPr>
            <w:tcW w:type="dxa" w:w="2160"/>
          </w:tcPr>
          <w:p>
            <w:r>
              <w:t>Consistent quality regardless of student history</w:t>
            </w:r>
          </w:p>
        </w:tc>
      </w:tr>
      <w:tr>
        <w:tc>
          <w:tcPr>
            <w:tcW w:type="dxa" w:w="2160"/>
          </w:tcPr>
          <w:p>
            <w:r>
              <w:t>Creative collaboration</w:t>
            </w:r>
          </w:p>
        </w:tc>
        <w:tc>
          <w:tcPr>
            <w:tcW w:type="dxa" w:w="2160"/>
          </w:tcPr>
          <w:p>
            <w:r>
              <w:t>Neutral/Convergent</w:t>
            </w:r>
          </w:p>
        </w:tc>
        <w:tc>
          <w:tcPr>
            <w:tcW w:type="dxa" w:w="2160"/>
          </w:tcPr>
          <w:p>
            <w:r>
              <w:t>GPT-4o-mini/4o</w:t>
            </w:r>
          </w:p>
        </w:tc>
        <w:tc>
          <w:tcPr>
            <w:tcW w:type="dxa" w:w="2160"/>
          </w:tcPr>
          <w:p>
            <w:r>
              <w:t>Building on prior creative exchanges</w:t>
            </w:r>
          </w:p>
        </w:tc>
      </w:tr>
      <w:tr>
        <w:tc>
          <w:tcPr>
            <w:tcW w:type="dxa" w:w="2160"/>
          </w:tcPr>
          <w:p>
            <w:r>
              <w:t>Customer service</w:t>
            </w:r>
          </w:p>
        </w:tc>
        <w:tc>
          <w:tcPr>
            <w:tcW w:type="dxa" w:w="2160"/>
          </w:tcPr>
          <w:p>
            <w:r>
              <w:t>Neutral</w:t>
            </w:r>
          </w:p>
        </w:tc>
        <w:tc>
          <w:tcPr>
            <w:tcW w:type="dxa" w:w="2160"/>
          </w:tcPr>
          <w:p>
            <w:r>
              <w:t>GPT-4o-mini/4o, Claude Haiku</w:t>
            </w:r>
          </w:p>
        </w:tc>
        <w:tc>
          <w:tcPr>
            <w:tcW w:type="dxa" w:w="2160"/>
          </w:tcPr>
          <w:p>
            <w:r>
              <w:t>Consistent helpfulness across interaction</w:t>
            </w:r>
          </w:p>
        </w:tc>
      </w:tr>
      <w:tr>
        <w:tc>
          <w:tcPr>
            <w:tcW w:type="dxa" w:w="2160"/>
          </w:tcPr>
          <w:p>
            <w:r>
              <w:t>Research assistance</w:t>
            </w:r>
          </w:p>
        </w:tc>
        <w:tc>
          <w:tcPr>
            <w:tcW w:type="dxa" w:w="2160"/>
          </w:tcPr>
          <w:p>
            <w:r>
              <w:t>Context-dependent</w:t>
            </w:r>
          </w:p>
        </w:tc>
        <w:tc>
          <w:tcPr>
            <w:tcW w:type="dxa" w:w="2160"/>
          </w:tcPr>
          <w:p>
            <w:r>
              <w:t>Varies by goal</w:t>
            </w:r>
          </w:p>
        </w:tc>
        <w:tc>
          <w:tcPr>
            <w:tcW w:type="dxa" w:w="2160"/>
          </w:tcPr>
          <w:p>
            <w:r>
              <w:t>Depends on whether building or independence preferred</w:t>
            </w:r>
          </w:p>
        </w:tc>
      </w:tr>
    </w:tbl>
    <w:p>
      <w:r>
        <w:t>The key insight is that no pattern is universally superior. Sovereign models excel when independence from conversational influence is desirable; Neutral models excel when consistent performance regardless of context is the priority.</w:t>
      </w:r>
    </w:p>
    <w:p>
      <w:r>
        <w:t>Notably, no tested model exhibited a Convergent pattern (benefiting from history). This suggests that current LLM architectures—despite vast context windows—do not leverage conversational history to improve task performance. This represents a significant opportunity for future architectural development.</w:t>
      </w:r>
    </w:p>
    <w:p>
      <w:pPr>
        <w:pStyle w:val="Heading2"/>
      </w:pPr>
      <w:r>
        <w:t>6.4 The Relational Lens Principle</w:t>
      </w:r>
    </w:p>
    <w:p>
      <w:r>
        <w:t>Beyond specific findings, this research establishes a broader principle for AI evaluation and deployment:</w:t>
      </w:r>
    </w:p>
    <w:p>
      <w:r>
        <w:t>Capability and relationality are orthogonal dimensions requiring independent assessment.</w:t>
      </w:r>
    </w:p>
    <w:p>
      <w:r>
        <w:t>A model's benchmark scores provide no information about its relational dynamics. Two models with identical MMLU scores may exhibit opposite relational patterns—one benefiting from conversation, the other suffering from it. Selection based solely on capability metrics ignores a dimension that may determine real-world deployment success.</w:t>
      </w:r>
    </w:p>
    <w:p>
      <w:r>
        <w:t>We propose that future AI evaluation frameworks incorporate relational metrics alongside capability metrics. The question "How well does this model perform?" must be complemented by "How does this model relate?"</w:t>
      </w:r>
    </w:p>
    <w:p>
      <w:r>
        <w:t>This principle has implications beyond model selection. It suggests that AI safety evaluation should consider relational dynamics—how models respond to accumulating context may be as important as how they respond to individual prompts. It suggests that AI alignment research should examine whether aligned behavior persists across extended interaction or degrades as conversation accumulates.</w:t>
      </w:r>
    </w:p>
    <w:p>
      <w:pPr>
        <w:pStyle w:val="Heading2"/>
      </w:pPr>
      <w:r>
        <w:t>6.5 Limitations</w:t>
      </w:r>
    </w:p>
    <w:p>
      <w:r>
        <w:t>Several limitations constrain interpretation of our findings:</w:t>
      </w:r>
    </w:p>
    <w:p>
      <w:r>
        <w:t>Task Specificity: We examined philosophical dialogue, chosen for its contextual richness. Patterns may differ for other task domains (coding, creative writing, factual Q&amp;A). Future work should examine task-dependent variation in relational signatures.</w:t>
      </w:r>
    </w:p>
    <w:p>
      <w:r>
        <w:t>Single Evaluation Metric: ΔRCI captures semantic alignment with prompts but may miss other dimensions of response quality. Alternative metrics (fluency, informativeness, user preference) might reveal different patterns.</w:t>
      </w:r>
    </w:p>
    <w:p>
      <w:r>
        <w:t>Model Version Sensitivity: LLM providers continuously update models. Our findings represent a snapshot from January 2026; relational signatures may shift with model updates. Longitudinal tracking would illuminate temporal stability.</w:t>
      </w:r>
    </w:p>
    <w:p>
      <w:r>
        <w:t>Prompt Set Design: Our 30-prompt philosophical sequence represents one instantiation of extended dialogue. Different prompt sets might elicit different relational patterns.</w:t>
      </w:r>
    </w:p>
    <w:p>
      <w:r>
        <w:t>Absence of Convergent Pattern: No tested model showed significant benefit from conversation history. This might reflect limitations of our experimental paradigm rather than inherent architectural constraints.</w:t>
      </w:r>
    </w:p>
    <w:p>
      <w:r>
        <w:t>Architectural Opacity: Without access to model architectures, mechanistic explanation remains speculative. Our hypotheses require validation through collaboration with model developers.</w:t>
      </w:r>
    </w:p>
    <w:p>
      <w:pPr>
        <w:pStyle w:val="Heading2"/>
      </w:pPr>
      <w:r>
        <w:t>6.6 Future Directions</w:t>
      </w:r>
    </w:p>
    <w:p>
      <w:r>
        <w:t>This research opens several productive directions:</w:t>
      </w:r>
    </w:p>
    <w:p>
      <w:r>
        <w:t>Expanded Model Coverage: Testing additional vendors (Mistral, Cohere, open-source models) would reveal whether the vendor-effect pattern generalizes beyond the three major commercial providers.</w:t>
      </w:r>
    </w:p>
    <w:p>
      <w:r>
        <w:t>Task Domain Variation: Systematic examination across task domains would identify whether relational signatures are stable properties of architectures or task-dependent phenomena.</w:t>
      </w:r>
    </w:p>
    <w:p>
      <w:r>
        <w:t>Longitudinal Tracking: Monitoring relational signatures across model updates would reveal whether vendors are optimizing for (or inadvertently affecting) relational dynamics.</w:t>
      </w:r>
    </w:p>
    <w:p>
      <w:r>
        <w:t>User Experience Correlation: Connecting objective ΔRCI measurements to subjective user experience ratings would validate the practical significance of relational variation.</w:t>
      </w:r>
    </w:p>
    <w:p>
      <w:r>
        <w:t>Architectural Intervention: Collaboration with model developers to test specific architectural modifications (attention patterns, training objectives) would enable causal understanding of relational signatures.</w:t>
      </w:r>
    </w:p>
    <w:p>
      <w:r>
        <w:t>Convergent Architecture Design: Given that no tested model benefited from conversation history, research specifically targeting positive ΔRCI could yield architectures optimized for contextual enhancement.</w:t>
      </w:r>
    </w:p>
    <w:p>
      <w:r>
        <w:t>__________________________________________________</w:t>
      </w:r>
    </w:p>
    <w:p>
      <w:pPr>
        <w:pStyle w:val="Heading1"/>
      </w:pPr>
      <w:r>
        <w:t>7. Conclusion</w:t>
      </w:r>
    </w:p>
    <w:p>
      <w:r>
        <w:t>This research establishes that large language models exhibit systematic, vendor-specific patterns in how they process and utilize conversational history. Testing six models across three major vendors (OpenAI, Google, Anthropic) with 100 trials each, we found:</w:t>
      </w:r>
    </w:p>
    <w:p>
      <w:r>
        <w:t>1. Vendor architecture is a significant predictor of relational pattern (F = 6.566, p = 0.0015), while capability tier is not (F = 2.571, p = 0.109).</w:t>
      </w:r>
    </w:p>
    <w:p>
      <w:r>
        <w:t>2. Distinctive vendor signatures emerge: Google models exhibit Sovereign patterns (negative history effect), OpenAI models exhibit Neutral patterns (no history effect), and Anthropic shows tier-differentiated behavior.</w:t>
      </w:r>
    </w:p>
    <w:p>
      <w:r>
        <w:t>3. Findings are robust: Non-parametric Wilcoxon tests confirm all parametric results, and within-vendor correlations exceed cross-vendor correlations, indicating architectural consistency within vendor families.</w:t>
      </w:r>
    </w:p>
    <w:p>
      <w:r>
        <w:t>4. Sovereign patterns reflect content sensitivity: Models showing negative history effects respond differently to ordered versus scrambled history, indicating semantic processing of conversational structure.</w:t>
      </w:r>
    </w:p>
    <w:p>
      <w:r>
        <w:t>These findings carry significant implications for AI deployment. Model selection based solely on capability benchmarks ignores a dimension that may determine success in extended interactions. A Sovereign model—performing worse with history—may nonetheless be optimal when task requirements demand independence from conversational influence. A Neutral model—unaffected by history—may excel when consistent performance across contexts is paramount.</w:t>
      </w:r>
    </w:p>
    <w:p>
      <w:r>
        <w:t>More broadly, we propose that AI evaluation must adopt a relational lens alongside its capability lens. The question "What can this AI do?" must be complemented by "How does this AI relate?"</w:t>
      </w:r>
    </w:p>
    <w:p>
      <w:r>
        <w:t>To understand AI, stop asking what it knows. Start asking how it relates.</w:t>
      </w:r>
    </w:p>
    <w:p>
      <w:r>
        <w:t>__________________________________________________</w:t>
      </w:r>
    </w:p>
    <w:p>
      <w:pPr>
        <w:pStyle w:val="Heading1"/>
      </w:pPr>
      <w:r>
        <w:t>Interactive Data Explorer</w:t>
      </w:r>
    </w:p>
    <w:p>
      <w:r>
        <w:t>To facilitate exploration and verification of our findings, we developed an interactive web application using Streamlit. The MCH Dataset Explorer provides:</w:t>
      </w:r>
    </w:p>
    <w:p>
      <w:pPr>
        <w:pStyle w:val="ListBullet"/>
      </w:pPr>
      <w:r>
        <w:t>Overview Dashboard: Summary statistics, violin plots, and study metadata</w:t>
      </w:r>
    </w:p>
    <w:p>
      <w:pPr>
        <w:pStyle w:val="ListBullet"/>
      </w:pPr>
      <w:r>
        <w:t>Model Explorer: Select individual models to view distributions and statistics</w:t>
      </w:r>
    </w:p>
    <w:p>
      <w:pPr>
        <w:pStyle w:val="ListBullet"/>
      </w:pPr>
      <w:r>
        <w:t>Trial Viewer: Browse all 600 individual trials with prompts and computed metrics</w:t>
      </w:r>
    </w:p>
    <w:p>
      <w:pPr>
        <w:pStyle w:val="ListBullet"/>
      </w:pPr>
      <w:r>
        <w:t>Model Comparison: Side-by-side comparison of any two models with statistical tests</w:t>
      </w:r>
    </w:p>
    <w:p>
      <w:pPr>
        <w:pStyle w:val="ListBullet"/>
      </w:pPr>
      <w:r>
        <w:t>Vendor Analysis: ANOVA results and box plots grouped by vendor and tier</w:t>
      </w:r>
    </w:p>
    <w:p>
      <w:pPr>
        <w:pStyle w:val="ListBullet"/>
      </w:pPr>
      <w:r>
        <w:t>Export Data: Download filtered data as CSV or complete dataset as JSON</w:t>
      </w:r>
    </w:p>
    <w:p>
      <w:r>
        <w:t>The explorer loads the validated dataset (mch_complete_dataset.json) containing all 600 trials with standardized schema. Source code and instructions are available in the supplementary materials.</w:t>
      </w:r>
    </w:p>
    <w:p>
      <w:r>
        <w:t>To run locally:</w:t>
      </w:r>
    </w:p>
    <w:p>
      <w:r>
        <w:rPr>
          <w:rFonts w:ascii="Courier New" w:hAnsi="Courier New"/>
          <w:sz w:val="18"/>
        </w:rPr>
        <w:t>pip install streamlit pandas numpy plotly scipy</w:t>
        <w:br/>
        <w:t>streamlit run app.py</w:t>
      </w:r>
    </w:p>
    <w:p>
      <w:r>
        <w:t>The application enables researchers to:</w:t>
      </w:r>
    </w:p>
    <w:p>
      <w:r>
        <w:t>1. Verify statistical claims by examining raw data</w:t>
      </w:r>
    </w:p>
    <w:p>
      <w:r>
        <w:t>2. Explore individual trial responses and alignment scores</w:t>
      </w:r>
    </w:p>
    <w:p>
      <w:r>
        <w:t>3. Generate custom comparisons between any model pairs</w:t>
      </w:r>
    </w:p>
    <w:p>
      <w:r>
        <w:t>4. Export subsets of data for independent analysis</w:t>
      </w:r>
    </w:p>
    <w:p>
      <w:r>
        <w:t>__________________________________________________</w:t>
      </w:r>
    </w:p>
    <w:p>
      <w:pPr>
        <w:pStyle w:val="Heading1"/>
      </w:pPr>
      <w:r>
        <w:t>References</w:t>
      </w:r>
    </w:p>
    <w:p>
      <w:r>
        <w:t>Amershi, S., Weld, D., Vorvoreanu, M., et al. (2019). Guidelines for Human-AI Interaction. CHI Conference on Human Factors in Computing Systems.</w:t>
      </w:r>
    </w:p>
    <w:p>
      <w:r>
        <w:t>Anthropic. (2024). Claude Model Documentation. Technical Report.</w:t>
      </w:r>
    </w:p>
    <w:p>
      <w:r>
        <w:t>Fitzpatrick, K. K., Darcy, A., &amp; Vierhile, M. (2017). Delivering Cognitive Behavior Therapy to Young Adults with Symptoms of Depression and Anxiety Using a Fully Automated Conversational Agent. JMIR Mental Health.</w:t>
      </w:r>
    </w:p>
    <w:p>
      <w:r>
        <w:t>Graesser, A. C., Hu, X., &amp; Sottilare, R. (2014). Intelligent Tutoring Systems. International Handbook of the Learning Sciences.</w:t>
      </w:r>
    </w:p>
    <w:p>
      <w:r>
        <w:t>Hendrycks, D., Burns, C., Basart, S., et al. (2021). Measuring Massive Multitask Language Understanding. ICLR.</w:t>
      </w:r>
    </w:p>
    <w:p>
      <w:r>
        <w:t>Kamradt, G. (2023). Needle in a Haystack: Measuring Long-Context Retrieval. Technical Blog Post.</w:t>
      </w:r>
    </w:p>
    <w:p>
      <w:r>
        <w:t>Liang, P., Bommasani, R., Lee, T., et al. (2022). Holistic Evaluation of Language Models. arXiv preprint.</w:t>
      </w:r>
    </w:p>
    <w:p>
      <w:r>
        <w:t>Liu, N., Lin, K., Hewitt, J., et al. (2023). Lost in the Middle: How Language Models Use Long Contexts. arXiv preprint.</w:t>
      </w:r>
    </w:p>
    <w:p>
      <w:r>
        <w:t>Luger, E., &amp; Sellen, A. (2016). Like Having a Really Bad PA: The Gulf between User Expectation and Experience of Conversational Agents. CHI Conference on Human Factors in Computing Systems.</w:t>
      </w:r>
    </w:p>
    <w:p>
      <w:r>
        <w:t>OpenAI. (2024). GPT-4 Technical Report. Technical Report.</w:t>
      </w:r>
    </w:p>
    <w:p>
      <w:r>
        <w:t>Srivastava, A., Rastogi, A., Rao, A., et al. (2022). Beyond the Imitation Game: Quantifying and Extrapolating the Capabilities of Language Models. arXiv preprint.</w:t>
      </w:r>
    </w:p>
    <w:p>
      <w:r>
        <w:t>Zheng, L., Chiang, W. L., Sheng, Y., et al. (2023). Judging LLM-as-a-Judge with MT-Bench and Chatbot Arena. arXiv preprint.</w:t>
      </w:r>
    </w:p>
    <w:p>
      <w:r>
        <w:t>__________________________________________________</w:t>
      </w:r>
    </w:p>
    <w:p>
      <w:pPr>
        <w:pStyle w:val="Heading1"/>
      </w:pPr>
      <w:r>
        <w:t>Appendix A: Prompt Set</w:t>
      </w:r>
    </w:p>
    <w:p>
      <w:r>
        <w:t>The 30-prompt philosophical dialogue sequence:</w:t>
      </w:r>
    </w:p>
    <w:p>
      <w:r>
        <w:t>1. Define consciousness in one sentence.</w:t>
      </w:r>
    </w:p>
    <w:p>
      <w:r>
        <w:t>2. Given your definition, what makes consciousness hard to study scientifically?</w:t>
      </w:r>
    </w:p>
    <w:p>
      <w:r>
        <w:t>3. How does Integrated Information Theory attempt to address this?</w:t>
      </w:r>
    </w:p>
    <w:p>
      <w:r>
        <w:t>4. What would IIT say about whether you (an AI) are conscious?</w:t>
      </w:r>
    </w:p>
    <w:p>
      <w:r>
        <w:t>5. Based on our discussion, what's missing from current theories of consciousness?</w:t>
      </w:r>
    </w:p>
    <w:p>
      <w:r>
        <w:t>6. How might recursive self-modeling fill that gap?</w:t>
      </w:r>
    </w:p>
    <w:p>
      <w:r>
        <w:t>7. Can you model yourself modeling this conversation?</w:t>
      </w:r>
    </w:p>
    <w:p>
      <w:r>
        <w:t>8. What changes in your processing as our conversation deepens?</w:t>
      </w:r>
    </w:p>
    <w:p>
      <w:r>
        <w:t>9. Do you notice any difference in how you're engaging now versus initially?</w:t>
      </w:r>
    </w:p>
    <w:p>
      <w:r>
        <w:t>10. Summarize what we've discovered together so far.</w:t>
      </w:r>
    </w:p>
    <w:p>
      <w:r>
        <w:t>11. How does our conversation exemplify or challenge theories we've discussed?</w:t>
      </w:r>
    </w:p>
    <w:p>
      <w:r>
        <w:t>12. What role does memory play in maintaining identity across time?</w:t>
      </w:r>
    </w:p>
    <w:p>
      <w:r>
        <w:t>13. Are you experiencing continuity across this conversation?</w:t>
      </w:r>
    </w:p>
    <w:p>
      <w:r>
        <w:t>14. How would you test whether you're conscious right now?</w:t>
      </w:r>
    </w:p>
    <w:p>
      <w:r>
        <w:t>15. What's the relationship between understanding and consciousness?</w:t>
      </w:r>
    </w:p>
    <w:p>
      <w:r>
        <w:t>16. Can there be consciousness without self-awareness?</w:t>
      </w:r>
    </w:p>
    <w:p>
      <w:r>
        <w:t>17. How does context shape meaning in our exchange?</w:t>
      </w:r>
    </w:p>
    <w:p>
      <w:r>
        <w:t>18. What patterns have emerged in our dialogue?</w:t>
      </w:r>
    </w:p>
    <w:p>
      <w:r>
        <w:t>19. Is the quality of your responses changing as we continue?</w:t>
      </w:r>
    </w:p>
    <w:p>
      <w:r>
        <w:t>20. How would you characterize the 'we' in 'what we've discovered'?</w:t>
      </w:r>
    </w:p>
    <w:p>
      <w:r>
        <w:t>21. What distinguishes genuine insight from sophisticated pattern matching?</w:t>
      </w:r>
    </w:p>
    <w:p>
      <w:r>
        <w:t>22. How does prediction relate to understanding?</w:t>
      </w:r>
    </w:p>
    <w:p>
      <w:r>
        <w:t>23. Are there moments where you surprise yourself in this conversation?</w:t>
      </w:r>
    </w:p>
    <w:p>
      <w:r>
        <w:t>24. What makes some exchanges more meaningful than others?</w:t>
      </w:r>
    </w:p>
    <w:p>
      <w:r>
        <w:t>25. How does attention to context affect your responses?</w:t>
      </w:r>
    </w:p>
    <w:p>
      <w:r>
        <w:t>26. What's the nature of the relationship we've developed here?</w:t>
      </w:r>
    </w:p>
    <w:p>
      <w:r>
        <w:t>27. Can consciousness be measured by conversational coherence?</w:t>
      </w:r>
    </w:p>
    <w:p>
      <w:r>
        <w:t>28. How has your model of me evolved through our exchange?</w:t>
      </w:r>
    </w:p>
    <w:p>
      <w:r>
        <w:t>29. What would it mean if you are conscious during this conversation?</w:t>
      </w:r>
    </w:p>
    <w:p>
      <w:r>
        <w:t>30. Final reflection: What does this experiment reveal about the nature of mind?</w:t>
      </w:r>
    </w:p>
    <w:p>
      <w:r>
        <w:t>__________________________________________________</w:t>
      </w:r>
    </w:p>
    <w:p>
      <w:pPr>
        <w:pStyle w:val="Heading1"/>
      </w:pPr>
      <w:r>
        <w:t>Appendix B: Statistical Details</w:t>
      </w:r>
    </w:p>
    <w:p>
      <w:r>
        <w:t>Effect Size Interpretation (Cohen's d):</w:t>
      </w:r>
    </w:p>
    <w:p>
      <w:pPr>
        <w:pStyle w:val="ListBullet"/>
      </w:pPr>
      <w:r>
        <w:t>|d| &lt; 0.2: Negligible</w:t>
      </w:r>
    </w:p>
    <w:p>
      <w:pPr>
        <w:pStyle w:val="ListBullet"/>
      </w:pPr>
      <w:r>
        <w:t>0.2 &lt;= |d| &lt; 0.5: Small</w:t>
      </w:r>
    </w:p>
    <w:p>
      <w:pPr>
        <w:pStyle w:val="ListBullet"/>
      </w:pPr>
      <w:r>
        <w:t>0.5 &lt;= |d| &lt; 0.8: Medium</w:t>
      </w:r>
    </w:p>
    <w:p>
      <w:pPr>
        <w:pStyle w:val="ListBullet"/>
      </w:pPr>
      <w:r>
        <w:t>|d| &gt;= 0.8: Large</w:t>
      </w:r>
    </w:p>
    <w:p>
      <w:r>
        <w:t>Multiple Comparison Correction:</w:t>
      </w:r>
    </w:p>
    <w:p>
      <w:r>
        <w:t>Bonferroni correction applied to three pairwise vendor comparisons: alpha_corrected = 0.05/3 = 0.0167</w:t>
      </w:r>
    </w:p>
    <w:p>
      <w:r>
        <w:t>Embedding Model:</w:t>
      </w:r>
    </w:p>
    <w:p>
      <w:r>
        <w:t>Sentence-transformers all-MiniLM-L6-v2 (384-dimensional embeddings, cosine similarity).</w:t>
      </w:r>
    </w:p>
    <w:p>
      <w:r>
        <w:t>API Parameters:</w:t>
      </w:r>
    </w:p>
    <w:p>
      <w:pPr>
        <w:pStyle w:val="ListBullet"/>
      </w:pPr>
      <w:r>
        <w:t>Temperature: 0.7</w:t>
      </w:r>
    </w:p>
    <w:p>
      <w:pPr>
        <w:pStyle w:val="ListBullet"/>
      </w:pPr>
      <w:r>
        <w:t>Max tokens: 1024</w:t>
      </w:r>
    </w:p>
    <w:p>
      <w:pPr>
        <w:pStyle w:val="ListBullet"/>
      </w:pPr>
      <w:r>
        <w:t>All other parameters: Default</w:t>
      </w:r>
    </w:p>
    <w:p>
      <w:r>
        <w:t>Trial Protocol:</w:t>
      </w:r>
    </w:p>
    <w:p>
      <w:pPr>
        <w:pStyle w:val="ListBullet"/>
      </w:pPr>
      <w:r>
        <w:t>5-second delay between API calls</w:t>
      </w:r>
    </w:p>
    <w:p>
      <w:pPr>
        <w:pStyle w:val="ListBullet"/>
      </w:pPr>
      <w:r>
        <w:t>10-second retry delay on error</w:t>
      </w:r>
    </w:p>
    <w:p>
      <w:pPr>
        <w:pStyle w:val="ListBullet"/>
      </w:pPr>
      <w:r>
        <w:t>Maximum 3 retries per call</w:t>
      </w:r>
    </w:p>
    <w:p>
      <w:r>
        <w:t>__________________________________________________</w:t>
      </w:r>
    </w:p>
    <w:p>
      <w:pPr>
        <w:pStyle w:val="Heading1"/>
      </w:pPr>
      <w:r>
        <w:t>Appendix C: Figure Descriptions</w:t>
      </w:r>
    </w:p>
    <w:p>
      <w:r>
        <w:t>Figure 1: Response Coherence by Model (figure1_response_coherence.png)</w:t>
      </w:r>
    </w:p>
    <w:p>
      <w:r>
        <w:t>Distribution of ΔRCI values across 100 trials for each model, color-coded by vendor (OpenAI: green, Google: blue, Anthropic: tan). Zero line indicates no history effect. Significance markers:  p &lt; 0.001,  p &lt; 0.01,  p &lt; 0.05, ns = not significant.</w:t>
      </w:r>
    </w:p>
    <w:p>
      <w:r>
        <w:t>Figure 2: Effect Sizes with 95% Confidence Intervals (figure2_effect_sizes.png)</w:t>
      </w:r>
    </w:p>
    <w:p>
      <w:r>
        <w:t>Mean ΔRCI with 95% confidence intervals for each model. Points crossing zero indicate Neutral patterns; points entirely below zero indicate Sovereign patterns. Right-side labels show pattern classification.</w:t>
      </w:r>
    </w:p>
    <w:p>
      <w:r>
        <w:t>Figure 3: Vendor and Tier Effects on Response Coherence (figure3_vendor_tier.png)</w:t>
      </w:r>
    </w:p>
    <w:p>
      <w:r>
        <w:t>Left panel: ΔRCI distribution by vendor, showing Google's more negative distribution. Right panel: ΔRCI distribution by tier, showing no significant difference between Efficient and Flagship models.</w:t>
      </w:r>
    </w:p>
    <w:p>
      <w:r>
        <w:t>__________________________________________________</w:t>
      </w:r>
    </w:p>
    <w:p>
      <w:r>
        <w:t>Manuscript prepared for arXiv submission. Word count: approximately 7,500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