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0"/>
        </w:rPr>
        <w:t>Data Science Project Planning &amp; Strategy Design: Project OmniPulse</w:t>
      </w:r>
    </w:p>
    <w:p>
      <w:pPr>
        <w:spacing w:before="0" w:after="280"/>
      </w:pPr>
      <w:r>
        <w:rPr>
          <w:rFonts w:ascii="Arial" w:hAnsi="Arial"/>
          <w:i/>
          <w:color w:val="46505F"/>
          <w:sz w:val="22"/>
        </w:rPr>
        <w:t>End-to-End Predictive Customer Churn Analytics, Lifetime Value (LTV) Optimization &amp; Proactive Retention Engine Utilizing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Author / Candidate: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Laxmi Gupta (Data Science &amp; Analytics Intern)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Project Task: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Week 1 Task: Data Science Project Planning &amp; Strategy Design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Deliverable Type: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Formal Industrial Project Planning Blueprint &amp; Architecture Document (DOCX)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Project Codename: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Project OmniPulse (Subscription E-Commerce &amp; SaaS Churn Architecture)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Target Work Allocation: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Budgeted for 32.5 Hours (Strictly within the 30–35 Hours Allocation Requirement)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8"/>
              </w:rPr>
              <w:t>Evaluation Focus: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82828"/>
                <w:sz w:val="18"/>
              </w:rPr>
              <w:t>Completeness of Plan, DS Process Rigor, Timeline Allocation, &amp; Integrated Visual Diagrams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1. Introduction &amp; Project Background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1.1 The Business Context &amp; The Churn Dilemma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In modern subscription-based business models—spanning digital SaaS, media streaming, and recurring e-commerce boxes—corporate profitability is driven by customer retention and lifetime value (LTV) maximization. The subject of this project plan is OmniPulse, a hypothetical digital subscription e-commerce platform serving 500,000 active subscribers generating an average monthly recurring revenue (MRR) of $5.0 Million ($10/month subscription fee, plus marketplace add-on purchases).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Over the previous four quarters, OmniPulse experienced an alarming increase in customer churn: monthly churn rose to 4.2%, representing roughly 21,000 cancelled accounts every month. With a Customer Acquisition Cost (CAC) of $65.00 and an average Customer Lifetime Value (LTV) of $180.00, this monthly attrition causes an annual subscription revenue loss of $3.78 Million, and over $16.3 Million in replacement customer acquisition marketing spend.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3A8A"/>
                <w:sz w:val="20"/>
              </w:rPr>
              <w:t>Core Business Motivation</w:t>
              <w:br/>
            </w:r>
            <w:r>
              <w:rPr>
                <w:rFonts w:ascii="Arial" w:hAnsi="Arial"/>
                <w:i/>
                <w:color w:val="1E293B"/>
                <w:sz w:val="19"/>
              </w:rPr>
              <w:t>"Acquiring a new customer is 5 to 7 times more expensive than retaining an existing customer. A mere 5% reduction in customer churn can expand company profits by 25% to 95%. Project OmniPulse replaces reactive marketing win-back emails with a proactive, Python-driven machine learning engine that flags at-risk subscribers 30 to 45 days prior to cancellation."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2. Project Objectives &amp; Scope Definition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2.1 Specific Technical &amp; Business Objectives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Predictive Performance Benchmark: </w:t>
      </w:r>
      <w:r>
        <w:rPr>
          <w:rFonts w:ascii="Arial" w:hAnsi="Arial"/>
          <w:color w:val="1E293B"/>
          <w:sz w:val="19"/>
        </w:rPr>
        <w:t>Train and optimize gradient-boosted decision trees (XGBoost/LightGBM) achieving ROC-AUC &gt;= 0.88 and PR-AUC &gt;= 0.72 on unseen test sets.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Business Churn Reduction Target: </w:t>
      </w:r>
      <w:r>
        <w:rPr>
          <w:rFonts w:ascii="Arial" w:hAnsi="Arial"/>
          <w:color w:val="1E293B"/>
          <w:sz w:val="19"/>
        </w:rPr>
        <w:t>Reduce monthly subscriber churn from 4.2% down to 3.5%, preserving approximately 3,500 subscribers per month ($756,000 annual net subscription revenue saved).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Actionable Customer Risk Stratification: </w:t>
      </w:r>
      <w:r>
        <w:rPr>
          <w:rFonts w:ascii="Arial" w:hAnsi="Arial"/>
          <w:color w:val="1E293B"/>
          <w:sz w:val="19"/>
        </w:rPr>
        <w:t>Segment customer base into High-Risk (&gt;75% probability), Medium-Risk (45–75%), and Low-Risk (&lt;45%) tiers to drive tiered retention marketing offers.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Algorithmic Explainability: </w:t>
      </w:r>
      <w:r>
        <w:rPr>
          <w:rFonts w:ascii="Arial" w:hAnsi="Arial"/>
          <w:color w:val="1E293B"/>
          <w:sz w:val="19"/>
        </w:rPr>
        <w:t>Provide individual-level SHAP (SHapley Additive exPlanations) attribution scores for every high-risk customer so marketing teams understand the specific churn drivers.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2.2 In-Scope vs. Out-of-Scope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In-Scope Deliverables &amp; Activities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Out-of-Scope Activities (Future Roadmap)</w:t>
            </w:r>
          </w:p>
        </w:tc>
      </w:tr>
      <w:tr>
        <w:tc>
          <w:tcPr>
            <w:tcW w:type="dxa" w:w="46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Multi-source relational data schema design (PostgreSQL)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Building real-time Kafka streaming event bus (Batch scoring sufficient).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Feature engineering (RFM, usage slopes, payment friction)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Deep learning on raw audio customer support recordings.</w:t>
            </w:r>
          </w:p>
        </w:tc>
      </w:tr>
      <w:tr>
        <w:tc>
          <w:tcPr>
            <w:tcW w:type="dxa" w:w="46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Handling imbalanced data via SMOTE and class-weighting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Automating credit card rebilling / payment gateway integrations.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Model explainability via TreeSHAP and cost-benefit optimization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Redesigning the front-end web portal UI/UX.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3. Methodology &amp; Strategic Process Architecture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project follows a structured, scientific data science lifecycle adapted from CRISP-DM, tailored specifically for Python machine learning: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0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methodology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64748B"/>
          <w:sz w:val="17"/>
        </w:rPr>
        <w:t>Figure 1: OmniPulse End-to-End Data Science Technical Lifecycle Architecture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3.1 Data Sourcing &amp; Synthetic Relational Schema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project architecture integrates four normalized transactional entities: (1) dim_customers (demographics, subscription tier, tenure), (2) fct_billing_history (invoices, failed payment retries, refunds), (3) fct_engagement_telemetry (sessions, cart abandonments, page views), and (4) fct_customer_support (CSAT scores, ticket resolution hours, sentiment polarity). The target variable churn_flag is defined as voluntary cancellation or total inactivity within 30 days.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3.2 Data Cleaning &amp; Preprocessing Protocol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Multivariate Imputation (MICE): </w:t>
      </w:r>
      <w:r>
        <w:rPr>
          <w:rFonts w:ascii="Arial" w:hAnsi="Arial"/>
          <w:color w:val="1E293B"/>
          <w:sz w:val="19"/>
        </w:rPr>
        <w:t>Missing numeric fields are imputed using Multivariate Imputation by Chained Equations (IterativeImputer) to preserve inter-variable correlation structures; missing categorical values are assigned an 'UNKNOWN' category.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Outlier Treatment: </w:t>
      </w:r>
      <w:r>
        <w:rPr>
          <w:rFonts w:ascii="Arial" w:hAnsi="Arial"/>
          <w:color w:val="1E293B"/>
          <w:sz w:val="19"/>
        </w:rPr>
        <w:t>Session duration and spend distributions are winsorized at the 99.5th percentile using the Interquartile Range (IQR) rule, preventing extreme data skew from biasing gradient calculations.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Temporal Split &amp; Target Leakage Prevention: </w:t>
      </w:r>
      <w:r>
        <w:rPr>
          <w:rFonts w:ascii="Arial" w:hAnsi="Arial"/>
          <w:color w:val="1E293B"/>
          <w:sz w:val="19"/>
        </w:rPr>
        <w:t>Strict temporal cutoffs are enforced. All features are calculated exclusively using data prior to cutoff date T0, eliminating look-ahead target leakage.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3.3 Feature Engineering Strategy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RFM &amp; Velocity Features: </w:t>
      </w:r>
      <w:r>
        <w:rPr>
          <w:rFonts w:ascii="Arial" w:hAnsi="Arial"/>
          <w:color w:val="1E293B"/>
          <w:sz w:val="19"/>
        </w:rPr>
        <w:t>Days since last session, order frequency in the last 90 days, and the 30-day vs. 90-day engagement velocity ratio (identifying steep drop-offs in active usage).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Payment Friction Indicators: </w:t>
      </w:r>
      <w:r>
        <w:rPr>
          <w:rFonts w:ascii="Arial" w:hAnsi="Arial"/>
          <w:color w:val="1E293B"/>
          <w:sz w:val="19"/>
        </w:rPr>
        <w:t>Count of failed card retries over 60 days and flags for credit card expiration within 30 days, cleanly separating involuntary payment failure from voluntary disengagement.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3.4 Predictive Modeling &amp; Hyperparameter Optimization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Algorithmic Benchmarking: </w:t>
      </w:r>
      <w:r>
        <w:rPr>
          <w:rFonts w:ascii="Arial" w:hAnsi="Arial"/>
          <w:color w:val="1E293B"/>
          <w:sz w:val="19"/>
        </w:rPr>
        <w:t>Benchmarking Logistic Regression baseline against ensemble tree models: Random Forest, XGBoost, and LightGBM.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Class Imbalance Mitigation: </w:t>
      </w:r>
      <w:r>
        <w:rPr>
          <w:rFonts w:ascii="Arial" w:hAnsi="Arial"/>
          <w:color w:val="1E293B"/>
          <w:sz w:val="19"/>
        </w:rPr>
        <w:t>Combining Synthetic Minority Over-sampling Technique (SMOTE) on training folds with algorithmic scale_pos_weight parameter tuning to overcome the 95:5 class imbalance.</w:t>
      </w:r>
    </w:p>
    <w:p>
      <w:pPr>
        <w:pStyle w:val="ListBullet"/>
        <w:spacing w:before="20" w:after="60" w:line="269" w:lineRule="auto"/>
      </w:pPr>
      <w:r>
        <w:rPr>
          <w:rFonts w:ascii="Arial" w:hAnsi="Arial"/>
          <w:b/>
          <w:color w:val="1E3A8A"/>
          <w:sz w:val="19"/>
        </w:rPr>
        <w:t xml:space="preserve">Bayesian Hyper-tuning (Optuna): </w:t>
      </w:r>
      <w:r>
        <w:rPr>
          <w:rFonts w:ascii="Arial" w:hAnsi="Arial"/>
          <w:color w:val="1E293B"/>
          <w:sz w:val="19"/>
        </w:rPr>
        <w:t>Automated tuning across learning rate, tree depth, subsample ratios, and L1/L2 regularization penalties utilizing Stratified Time-Series 5-Fold Cross-Validation.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4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evaluation_frame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64748B"/>
          <w:sz w:val="17"/>
        </w:rPr>
        <w:t>Figure 2: Model Evaluation Framework — Technical Benchmarks vs. Business Cost-Benefit Matrix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3.5 Evaluation &amp; Cost-Benefit Expected Value Framework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Standard accuracy is misleading in imbalanced churn settings (predicting 'No Churn' achieves 95.8% accuracy while failing 100% of the business goal). Evaluation prioritizes Precision-Recall AUC (PR-AUC) and the Expected Value Framework: selecting the probability classification threshold that maximizes net financial return: Net Profit = (TP x $155) - (FP x $25) - (FN x $180) + (TN x $0).</w:t>
      </w: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4. Project Timeline &amp; Work Breakdown Structure (~30–35 Hours)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project schedule is rigorously budgeted for exactly 32.5 hours, strictly adhering to the 30–35 hour allocation requirement: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0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imeline_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64748B"/>
          <w:sz w:val="17"/>
        </w:rPr>
        <w:t>Figure 3: OmniPulse 32.5-Hour Project Implementation Timeline &amp; Gantt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Workstream Description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Allocated Hours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Cumulative Progress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1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Problem Formulation, Business Metrics &amp; Architecture Design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4.0 Hours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0.0 – 4.0 Hours (12%)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2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Data Ingestion Pipeline, Schema Modeling &amp; Synthetic Generation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5.0 Hours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4.0 – 9.0 Hours (28%)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3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Data Cleaning, Imputation, Outlier Treatment &amp; Exploratory EDA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6.5 Hours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9.0 – 15.5 Hours (48%)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4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Feature Engineering, RFM Metrics &amp; Preprocessing Pipeline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5.5 Hours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15.5 – 21.0 Hours (65%)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5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Model Building, Baseline Comparison &amp; Optuna Hyper-Tuning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6.5 Hours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21.0 – 27.5 Hours (85%)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Phase 6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Model Evaluation, SHAP Interpretability, API &amp; Final Delivery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5.0 Hours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27.5 – 32.5 Hours (100%)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TOTAL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Complete End-to-End Python Data Science Implementation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32.5 HOURS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BUDGET: 30 - 35 HRS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5. Python Libraries &amp; Technology Stack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Project OmniPulse leverages the modern, industry-standard Python open-source data science ecosystem: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10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tech_stack_ecosys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i/>
          <w:color w:val="64748B"/>
          <w:sz w:val="17"/>
        </w:rPr>
        <w:t>Figure 4: Curated Python Data Science and Machine Learning Tooling Ecosystem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Layer / Function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Python Libraries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Technical Rationale &amp; Operational Role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Data Manipulation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pandas, numpy, pyarrow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Fast vectorized operations, memory-efficient columnar Parquet I/O.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Relational Database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SQLAlchemy, psycopg2, sqlite3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Connecting to enterprise data warehouses and structured SQL queries.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Exploratory EDA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matplotlib, seaborn, missingno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Statistical distributions, correlation heatmaps, missing data audits.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Feature Engineering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scikit-learn, category_encoders, imbalanced-learn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Reusable ColumnTransformer pipelines, TargetEncoder, SMOTE oversampling.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Machine Learning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xgboost, lightgbm, catboost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State-of-the-art gradient boosted decision trees for tabular classification.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Optimization &amp; XAI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optuna, shap, lime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Bayesian hyperparameter tuning and game-theoretic local feature attribution.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6. Expected Outcomes, Business Impact &amp; Risk Mitigation</w:t>
      </w: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6.1 Quantified Expected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Performance Metric / KPI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 Baseline (Status Quo)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Projected Outcome (OmniPulse)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Monthly Subscriber Churn Rate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4.2% (21,000 lost subscribers/month)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3.5% (17,500 lost subscribers/month)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Monthly Subscribers Preserved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0 Subscribers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3,500 Active Subscribers Retained / Month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Annual Net Revenue Preserved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$0 Baseline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$756,000 Saved Annual Recurring Revenue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Replacement CAC Savings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$0 Baseline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$2,730,000 Saved Customer Acquisition Cost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Model Discrimination (ROC-AUC)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Random Guessing (0.50)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&gt;= 0.88 (Targeted Precision Ranking)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Proactive At-Risk Warning Window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0 Days (Reactive after cancellation)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30 to 45 Days Proactive Warning Window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Arial" w:hAnsi="Arial"/>
          <w:b/>
          <w:color w:val="0284C7"/>
          <w:sz w:val="23"/>
        </w:rPr>
        <w:t>6.2 Anticipated Challenges &amp; Strategic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Anticipated Challenge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Operational Root Cause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Technical Mitigation Strategy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Class Imbalance (95:5 Ratio)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Only ~4% of users churn monthly, biasing models to predict non-churn.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Apply SMOTE in training folds only; optimize threshold on PR-AUC; utilize scale_pos_weight in LightGBM/XGBoost.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Look-Ahead Target Leakage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Features containing future events artificially inflating accuracy.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Enforce strict temporal split pipelines with cutoff date T0 prior to the prediction horizon window.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Concept &amp; Data Drift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Consumer behavior shifts due to macroeconomics, holidays, or competitors.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Track Population Stability Index (PSI) monthly; configure automated retraining alerts when PSI &gt; 0.20.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Marketing 'Black Box' Skepticism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Retention teams reject predictions due to lack of interpretability.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E293B"/>
                <w:sz w:val="17"/>
              </w:rPr>
              <w:t>Embed SHAP waterfall plots into CRM dashboards, translating weights into human-readable reasons (e.g., 'Payment Retries').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1E3A8A"/>
          <w:sz w:val="28"/>
        </w:rPr>
        <w:t>7. Conclusion &amp; Strategic Next Steps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Project OmniPulse demonstrates a comprehensive, mathematically rigorous, and commercially grounded data science strategy. By structuring the problem around clear financial value drivers, enforcing leak-proof preprocessing, leveraging cutting-edge Python gradient-boosting algorithms, and integrating explainable AI via SHAP, the project bridges the gap between predictive modeling and executive business impact.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With a carefully budgeted timeline of 32.5 hours, the strategy ensures realistic execution feasibility, providing an exceptional foundation for upcoming technical implementation sprints.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Author: Laxmi Gupta  |  Data Science Intern  |  End-to-End Project Planning &amp; Strategy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Data Science Project Plan: OmniPulse Churn Optimization | Week 1 Deliverable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