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3366"/>
          <w:sz w:val="44"/>
        </w:rPr>
        <w:t>SAP FICO Enterprise Case Study: Nestlé S.A. (Project GLOBE)</w:t>
      </w:r>
    </w:p>
    <w:p>
      <w:pPr>
        <w:spacing w:before="0" w:after="280"/>
      </w:pPr>
      <w:r>
        <w:rPr>
          <w:rFonts w:ascii="Arial" w:hAnsi="Arial"/>
          <w:i/>
          <w:color w:val="46505F"/>
          <w:sz w:val="22"/>
        </w:rPr>
        <w:t>A Master-Class Analysis of Global Financial Harmonization, Enterprise Architecture, Operational Integration, and Quantifiable Value Realization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F1F5F9"/>
            <w:tcMar>
              <w:top w:w="60" w:type="dxa"/>
              <w:bottom w:w="60" w:type="dxa"/>
              <w:left w:w="100" w:type="dxa"/>
              <w:right w:w="100" w:type="dxa"/>
            </w:tcMar>
          </w:tcPr>
          <w:p>
            <w:pPr>
              <w:spacing w:after="40"/>
            </w:pPr>
            <w:r>
              <w:rPr>
                <w:rFonts w:ascii="Arial" w:hAnsi="Arial"/>
                <w:b/>
                <w:color w:val="003366"/>
                <w:sz w:val="18"/>
              </w:rPr>
              <w:t>Author / Candidate:</w:t>
            </w:r>
          </w:p>
        </w:tc>
        <w:tc>
          <w:tcPr>
            <w:tcW w:type="dxa" w:w="6192"/>
            <w:shd w:fill="FAFAFA"/>
            <w:tcMar>
              <w:top w:w="60" w:type="dxa"/>
              <w:bottom w:w="60" w:type="dxa"/>
              <w:left w:w="100" w:type="dxa"/>
              <w:right w:w="100" w:type="dxa"/>
            </w:tcMar>
          </w:tcPr>
          <w:p>
            <w:pPr>
              <w:spacing w:after="40"/>
            </w:pPr>
            <w:r>
              <w:rPr>
                <w:rFonts w:ascii="Arial" w:hAnsi="Arial"/>
                <w:color w:val="282828"/>
                <w:sz w:val="18"/>
              </w:rPr>
              <w:t>Laxmi Gupta (SAP Consulting / ERP Intern)</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Project Task:</w:t>
            </w:r>
          </w:p>
        </w:tc>
        <w:tc>
          <w:tcPr>
            <w:tcW w:type="dxa" w:w="6192"/>
            <w:shd w:fill="FAFAFA"/>
            <w:tcMar>
              <w:top w:w="60" w:type="dxa"/>
              <w:bottom w:w="60" w:type="dxa"/>
              <w:left w:w="100" w:type="dxa"/>
              <w:right w:w="100" w:type="dxa"/>
            </w:tcMar>
          </w:tcPr>
          <w:p>
            <w:pPr>
              <w:spacing w:after="40"/>
            </w:pPr>
            <w:r>
              <w:rPr>
                <w:rFonts w:ascii="Arial" w:hAnsi="Arial"/>
                <w:color w:val="282828"/>
                <w:sz w:val="18"/>
              </w:rPr>
              <w:t>Week 3 Task: SAP FICO Case Study Research &amp; Deliverable</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Deliverable Type:</w:t>
            </w:r>
          </w:p>
        </w:tc>
        <w:tc>
          <w:tcPr>
            <w:tcW w:type="dxa" w:w="6192"/>
            <w:shd w:fill="FAFAFA"/>
            <w:tcMar>
              <w:top w:w="60" w:type="dxa"/>
              <w:bottom w:w="60" w:type="dxa"/>
              <w:left w:w="100" w:type="dxa"/>
              <w:right w:w="100" w:type="dxa"/>
            </w:tcMar>
          </w:tcPr>
          <w:p>
            <w:pPr>
              <w:spacing w:after="40"/>
            </w:pPr>
            <w:r>
              <w:rPr>
                <w:rFonts w:ascii="Arial" w:hAnsi="Arial"/>
                <w:color w:val="282828"/>
                <w:sz w:val="18"/>
              </w:rPr>
              <w:t>Formal Industrial Enterprise Case Study Dossier (DOCX Deliverable)</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Case Study Subject:</w:t>
            </w:r>
          </w:p>
        </w:tc>
        <w:tc>
          <w:tcPr>
            <w:tcW w:type="dxa" w:w="6192"/>
            <w:shd w:fill="FAFAFA"/>
            <w:tcMar>
              <w:top w:w="60" w:type="dxa"/>
              <w:bottom w:w="60" w:type="dxa"/>
              <w:left w:w="100" w:type="dxa"/>
              <w:right w:w="100" w:type="dxa"/>
            </w:tcMar>
          </w:tcPr>
          <w:p>
            <w:pPr>
              <w:spacing w:after="40"/>
            </w:pPr>
            <w:r>
              <w:rPr>
                <w:rFonts w:ascii="Arial" w:hAnsi="Arial"/>
                <w:color w:val="282828"/>
                <w:sz w:val="18"/>
              </w:rPr>
              <w:t>Nestlé S.A. (Project GLOBE - Global Business Excellence Transformation)</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System Architecture Scope:</w:t>
            </w:r>
          </w:p>
        </w:tc>
        <w:tc>
          <w:tcPr>
            <w:tcW w:type="dxa" w:w="6192"/>
            <w:shd w:fill="FAFAFA"/>
            <w:tcMar>
              <w:top w:w="60" w:type="dxa"/>
              <w:bottom w:w="60" w:type="dxa"/>
              <w:left w:w="100" w:type="dxa"/>
              <w:right w:w="100" w:type="dxa"/>
            </w:tcMar>
          </w:tcPr>
          <w:p>
            <w:pPr>
              <w:spacing w:after="40"/>
            </w:pPr>
            <w:r>
              <w:rPr>
                <w:rFonts w:ascii="Arial" w:hAnsi="Arial"/>
                <w:color w:val="282828"/>
                <w:sz w:val="18"/>
              </w:rPr>
              <w:t>SAP ERP ECC 6.0 Enterprise Core &amp; Modernization toward SAP S/4HANA</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Evaluation Dimensions:</w:t>
            </w:r>
          </w:p>
        </w:tc>
        <w:tc>
          <w:tcPr>
            <w:tcW w:type="dxa" w:w="6192"/>
            <w:shd w:fill="FAFAFA"/>
            <w:tcMar>
              <w:top w:w="60" w:type="dxa"/>
              <w:bottom w:w="60" w:type="dxa"/>
              <w:left w:w="100" w:type="dxa"/>
              <w:right w:w="100" w:type="dxa"/>
            </w:tcMar>
          </w:tcPr>
          <w:p>
            <w:pPr>
              <w:spacing w:after="40"/>
            </w:pPr>
            <w:r>
              <w:rPr>
                <w:rFonts w:ascii="Arial" w:hAnsi="Arial"/>
                <w:color w:val="282828"/>
                <w:sz w:val="18"/>
              </w:rPr>
              <w:t>Relevance of Company, Depth of Case Study, Technical Rigor, &amp; Clarity</w:t>
            </w:r>
          </w:p>
        </w:tc>
      </w:tr>
    </w:tbl>
    <w:p>
      <w:pPr>
        <w:spacing w:after="160"/>
      </w:pPr>
    </w:p>
    <w:p>
      <w:pPr>
        <w:keepNext/>
        <w:spacing w:before="320" w:after="100"/>
      </w:pPr>
      <w:r>
        <w:rPr>
          <w:rFonts w:ascii="Arial" w:hAnsi="Arial"/>
          <w:b/>
          <w:color w:val="003366"/>
          <w:sz w:val="28"/>
        </w:rPr>
        <w:t>Executive Summary</w:t>
      </w:r>
    </w:p>
    <w:p>
      <w:pPr>
        <w:spacing w:before="0" w:after="80" w:line="276" w:lineRule="auto"/>
      </w:pPr>
      <w:r>
        <w:rPr>
          <w:rFonts w:ascii="Arial" w:hAnsi="Arial"/>
          <w:color w:val="1E293B"/>
          <w:sz w:val="19"/>
        </w:rPr>
        <w:t>In the history of Enterprise Resource Planning (ERP), few corporate transformations rival the magnitude, ambition, and enduring value of Nestlé's Project GLOBE (Global Business Excellence). Launched in the early 2000s under CEO Peter Brabeck-Letmathe, Project GLOBE was a $2.4 Billion worldwide initiative conceived to unify the world's largest food and beverage conglomerate from an uncoordinated federation of autonomous national operating companies into an integrated, data-driven global enterprise.</w:t>
      </w:r>
    </w:p>
    <w:p>
      <w:pPr>
        <w:spacing w:before="0" w:after="80" w:line="276" w:lineRule="auto"/>
      </w:pPr>
      <w:r>
        <w:rPr>
          <w:rFonts w:ascii="Arial" w:hAnsi="Arial"/>
          <w:color w:val="1E293B"/>
          <w:sz w:val="19"/>
        </w:rPr>
        <w:t>At the foundation of this business transformation sat SAP Financial Accounting (FI) and Controlling (CO). Prior to Project GLOBE, Nestlé operated across 80+ countries with more than 80 disparate legacy IT and financial systems. This architectural fragmentation resulted in the infamous 'Vanilla Pricing Paradox'—where 20 different Nestlé subsidiaries purchased vanilla from the exact same vendor under 20 distinct names at 20 different prices. Financial month-end closing dragged on for 18 to 25 business days, annual statutory consolidation was an agonizing manual ordeal, intercompany reconciliations were riddled with multi-million dollar discrepancies, and corporate leadership lacked visibility into the net profitability of specific brands, SKUs, and retail distribution channels.</w:t>
      </w: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left w:val="single" w:sz="24" w:space="0" w:color="003366"/>
              <w:top w:val="none"/>
              <w:right w:val="none"/>
              <w:bottom w:val="none"/>
            </w:tcBorders>
          </w:tcPr>
          <w:p>
            <w:pPr>
              <w:spacing w:before="40" w:after="40" w:line="276" w:lineRule="auto"/>
            </w:pPr>
            <w:r>
              <w:rPr>
                <w:rFonts w:ascii="Arial" w:hAnsi="Arial"/>
                <w:b/>
                <w:color w:val="003366"/>
                <w:sz w:val="20"/>
              </w:rPr>
              <w:t>Executive Strategic Takeaway</w:t>
              <w:br/>
            </w:r>
            <w:r>
              <w:rPr>
                <w:rFonts w:ascii="Arial" w:hAnsi="Arial"/>
                <w:i/>
                <w:color w:val="1E293B"/>
                <w:sz w:val="19"/>
              </w:rPr>
              <w:t>"The core realization of Project GLOBE was that ERP is not a technical IT installation—it is a fundamental business transformation. By harmonizing global processes, establishing strict data governance, and enforcing a single SAP FICO template, Nestlé permanently transformed its operating cost structure, achieving CHF 3.0+ Billion in annual recurring savings and compressing its month-end closing from 25 days down to 3 days."</w:t>
            </w:r>
          </w:p>
        </w:tc>
      </w:tr>
    </w:tbl>
    <w:p>
      <w:pPr>
        <w:spacing w:after="80"/>
      </w:pPr>
    </w:p>
    <w:p>
      <w:pPr>
        <w:keepNext/>
        <w:spacing w:before="320" w:after="100"/>
      </w:pPr>
      <w:r>
        <w:rPr>
          <w:rFonts w:ascii="Arial" w:hAnsi="Arial"/>
          <w:b/>
          <w:color w:val="003366"/>
          <w:sz w:val="28"/>
        </w:rPr>
        <w:t>1. Company Profile &amp; Organizational Background</w:t>
      </w:r>
    </w:p>
    <w:p>
      <w:pPr>
        <w:keepNext/>
        <w:spacing w:before="240" w:after="60"/>
      </w:pPr>
      <w:r>
        <w:rPr>
          <w:rFonts w:ascii="Arial" w:hAnsi="Arial"/>
          <w:b/>
          <w:color w:val="1E4078"/>
          <w:sz w:val="23"/>
        </w:rPr>
        <w:t>1.1 Corporate Scale and Operational Footprint</w:t>
      </w:r>
    </w:p>
    <w:p>
      <w:pPr>
        <w:spacing w:before="0" w:after="80" w:line="276" w:lineRule="auto"/>
      </w:pPr>
      <w:r>
        <w:rPr>
          <w:rFonts w:ascii="Arial" w:hAnsi="Arial"/>
          <w:color w:val="1E293B"/>
          <w:sz w:val="19"/>
        </w:rPr>
        <w:t>Founded in 1866 by Henri Nestlé in Vevey, Switzerland, Nestlé S.A. is the world's preeminent nutrition, health, and wellness conglomerate. Its global product catalog spans dairy products, infant nutrition, bottled water, coffee, confectionery, pet care, culinary solutions, and medical nutrition.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600"/>
            <w:shd w:fill="003366"/>
            <w:tcMar>
              <w:top w:w="100" w:type="dxa"/>
              <w:bottom w:w="100" w:type="dxa"/>
              <w:left w:w="120" w:type="dxa"/>
              <w:right w:w="120" w:type="dxa"/>
            </w:tcMar>
          </w:tcPr>
          <w:p>
            <w:pPr>
              <w:spacing w:before="0" w:after="0" w:line="252" w:lineRule="auto"/>
            </w:pPr>
            <w:r>
              <w:rPr>
                <w:rFonts w:ascii="Arial" w:hAnsi="Arial"/>
                <w:b/>
                <w:color w:val="FFFFFF"/>
                <w:sz w:val="18"/>
              </w:rPr>
              <w:t>Enterprise Dimension</w:t>
            </w:r>
          </w:p>
        </w:tc>
        <w:tc>
          <w:tcPr>
            <w:tcW w:type="dxa" w:w="5760"/>
            <w:shd w:fill="003366"/>
            <w:tcMar>
              <w:top w:w="100" w:type="dxa"/>
              <w:bottom w:w="100" w:type="dxa"/>
              <w:left w:w="120" w:type="dxa"/>
              <w:right w:w="120" w:type="dxa"/>
            </w:tcMar>
          </w:tcPr>
          <w:p>
            <w:pPr>
              <w:spacing w:before="0" w:after="0" w:line="252" w:lineRule="auto"/>
            </w:pPr>
            <w:r>
              <w:rPr>
                <w:rFonts w:ascii="Arial" w:hAnsi="Arial"/>
                <w:b/>
                <w:color w:val="FFFFFF"/>
                <w:sz w:val="18"/>
              </w:rPr>
              <w:t>Operational Magnitude &amp; Scale</w:t>
            </w:r>
          </w:p>
        </w:tc>
      </w:tr>
      <w:tr>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Global Corporate Headquarters</w:t>
            </w:r>
          </w:p>
        </w:tc>
        <w:tc>
          <w:tcPr>
            <w:tcW w:type="dxa" w:w="5760"/>
            <w:shd w:fill="FFFFFF"/>
            <w:tcMar>
              <w:top w:w="70" w:type="dxa"/>
              <w:bottom w:w="70" w:type="dxa"/>
              <w:left w:w="120" w:type="dxa"/>
              <w:right w:w="120" w:type="dxa"/>
            </w:tcMar>
          </w:tcPr>
          <w:p>
            <w:pPr>
              <w:spacing w:before="0" w:after="0" w:line="264" w:lineRule="auto"/>
            </w:pPr>
            <w:r>
              <w:rPr>
                <w:rFonts w:ascii="Arial" w:hAnsi="Arial"/>
                <w:color w:val="1E293B"/>
                <w:sz w:val="17"/>
              </w:rPr>
              <w:t>Vevey, Canton of Vaud, Switzerland</w:t>
            </w:r>
          </w:p>
        </w:tc>
      </w:tr>
      <w:tr>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Global Market Presence</w:t>
            </w:r>
          </w:p>
        </w:tc>
        <w:tc>
          <w:tcPr>
            <w:tcW w:type="dxa" w:w="5760"/>
            <w:shd w:fill="F8FAFC"/>
            <w:tcMar>
              <w:top w:w="70" w:type="dxa"/>
              <w:bottom w:w="70" w:type="dxa"/>
              <w:left w:w="120" w:type="dxa"/>
              <w:right w:w="120" w:type="dxa"/>
            </w:tcMar>
          </w:tcPr>
          <w:p>
            <w:pPr>
              <w:spacing w:before="0" w:after="0" w:line="264" w:lineRule="auto"/>
            </w:pPr>
            <w:r>
              <w:rPr>
                <w:rFonts w:ascii="Arial" w:hAnsi="Arial"/>
                <w:color w:val="1E293B"/>
                <w:sz w:val="17"/>
              </w:rPr>
              <w:t>Commercial operations and active distribution across 188+ countries</w:t>
            </w:r>
          </w:p>
        </w:tc>
      </w:tr>
      <w:tr>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Manufacturing Network</w:t>
            </w:r>
          </w:p>
        </w:tc>
        <w:tc>
          <w:tcPr>
            <w:tcW w:type="dxa" w:w="5760"/>
            <w:shd w:fill="FFFFFF"/>
            <w:tcMar>
              <w:top w:w="70" w:type="dxa"/>
              <w:bottom w:w="70" w:type="dxa"/>
              <w:left w:w="120" w:type="dxa"/>
              <w:right w:w="120" w:type="dxa"/>
            </w:tcMar>
          </w:tcPr>
          <w:p>
            <w:pPr>
              <w:spacing w:before="0" w:after="0" w:line="264" w:lineRule="auto"/>
            </w:pPr>
            <w:r>
              <w:rPr>
                <w:rFonts w:ascii="Arial" w:hAnsi="Arial"/>
                <w:color w:val="1E293B"/>
                <w:sz w:val="17"/>
              </w:rPr>
              <w:t>350+ manufacturing plants and factories across 79 countries</w:t>
            </w:r>
          </w:p>
        </w:tc>
      </w:tr>
      <w:tr>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Global Workforce</w:t>
            </w:r>
          </w:p>
        </w:tc>
        <w:tc>
          <w:tcPr>
            <w:tcW w:type="dxa" w:w="5760"/>
            <w:shd w:fill="F8FAFC"/>
            <w:tcMar>
              <w:top w:w="70" w:type="dxa"/>
              <w:bottom w:w="70" w:type="dxa"/>
              <w:left w:w="120" w:type="dxa"/>
              <w:right w:w="120" w:type="dxa"/>
            </w:tcMar>
          </w:tcPr>
          <w:p>
            <w:pPr>
              <w:spacing w:before="0" w:after="0" w:line="264" w:lineRule="auto"/>
            </w:pPr>
            <w:r>
              <w:rPr>
                <w:rFonts w:ascii="Arial" w:hAnsi="Arial"/>
                <w:color w:val="1E293B"/>
                <w:sz w:val="17"/>
              </w:rPr>
              <w:t>Approximately 270,000 to 280,000 direct employees worldwide</w:t>
            </w:r>
          </w:p>
        </w:tc>
      </w:tr>
      <w:tr>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Product Brand Portfolio</w:t>
            </w:r>
          </w:p>
        </w:tc>
        <w:tc>
          <w:tcPr>
            <w:tcW w:type="dxa" w:w="5760"/>
            <w:shd w:fill="FFFFFF"/>
            <w:tcMar>
              <w:top w:w="70" w:type="dxa"/>
              <w:bottom w:w="70" w:type="dxa"/>
              <w:left w:w="120" w:type="dxa"/>
              <w:right w:w="120" w:type="dxa"/>
            </w:tcMar>
          </w:tcPr>
          <w:p>
            <w:pPr>
              <w:spacing w:before="0" w:after="0" w:line="264" w:lineRule="auto"/>
            </w:pPr>
            <w:r>
              <w:rPr>
                <w:rFonts w:ascii="Arial" w:hAnsi="Arial"/>
                <w:color w:val="1E293B"/>
                <w:sz w:val="17"/>
              </w:rPr>
              <w:t>Over 2,000 global and local brands (Nescafé, Nespresso, Maggi, KitKat, Purina, Gerber)</w:t>
            </w:r>
          </w:p>
        </w:tc>
      </w:tr>
      <w:tr>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Consolidated Annual Turnover</w:t>
            </w:r>
          </w:p>
        </w:tc>
        <w:tc>
          <w:tcPr>
            <w:tcW w:type="dxa" w:w="5760"/>
            <w:shd w:fill="F8FAFC"/>
            <w:tcMar>
              <w:top w:w="70" w:type="dxa"/>
              <w:bottom w:w="70" w:type="dxa"/>
              <w:left w:w="120" w:type="dxa"/>
              <w:right w:w="120" w:type="dxa"/>
            </w:tcMar>
          </w:tcPr>
          <w:p>
            <w:pPr>
              <w:spacing w:before="0" w:after="0" w:line="264" w:lineRule="auto"/>
            </w:pPr>
            <w:r>
              <w:rPr>
                <w:rFonts w:ascii="Arial" w:hAnsi="Arial"/>
                <w:color w:val="1E293B"/>
                <w:sz w:val="17"/>
              </w:rPr>
              <w:t>Consolidated sales revenue ranging between CHF 85 Billion and CHF 95 Billion</w:t>
            </w:r>
          </w:p>
        </w:tc>
      </w:tr>
      <w:tr>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Global Management Structure</w:t>
            </w:r>
          </w:p>
        </w:tc>
        <w:tc>
          <w:tcPr>
            <w:tcW w:type="dxa" w:w="5760"/>
            <w:shd w:fill="FFFFFF"/>
            <w:tcMar>
              <w:top w:w="70" w:type="dxa"/>
              <w:bottom w:w="70" w:type="dxa"/>
              <w:left w:w="120" w:type="dxa"/>
              <w:right w:w="120" w:type="dxa"/>
            </w:tcMar>
          </w:tcPr>
          <w:p>
            <w:pPr>
              <w:spacing w:before="0" w:after="0" w:line="264" w:lineRule="auto"/>
            </w:pPr>
            <w:r>
              <w:rPr>
                <w:rFonts w:ascii="Arial" w:hAnsi="Arial"/>
                <w:color w:val="1E293B"/>
                <w:sz w:val="17"/>
              </w:rPr>
              <w:t>Three Geographic Zones (Americas, Europe, Asia-Oceania-Africa) &amp; Global Strategic Units</w:t>
            </w:r>
          </w:p>
        </w:tc>
      </w:tr>
    </w:tbl>
    <w:p>
      <w:pPr>
        <w:spacing w:after="80"/>
      </w:pPr>
    </w:p>
    <w:p>
      <w:pPr>
        <w:keepNext/>
        <w:spacing w:before="240" w:after="60"/>
      </w:pPr>
      <w:r>
        <w:rPr>
          <w:rFonts w:ascii="Arial" w:hAnsi="Arial"/>
          <w:b/>
          <w:color w:val="1E4078"/>
          <w:sz w:val="23"/>
        </w:rPr>
        <w:t>1.2 The 'Federation of Independent Fiefdoms'</w:t>
      </w:r>
    </w:p>
    <w:p>
      <w:pPr>
        <w:spacing w:before="0" w:after="80" w:line="276" w:lineRule="auto"/>
      </w:pPr>
      <w:r>
        <w:rPr>
          <w:rFonts w:ascii="Arial" w:hAnsi="Arial"/>
          <w:color w:val="1E293B"/>
          <w:sz w:val="19"/>
        </w:rPr>
        <w:t>For over a century, Nestlé grew by granting absolute autonomy to its country managers. Each national operating company operated as an independent business unit with its own Board of Directors, local data centers, homegrown accounting software, distinct Chart of Accounts, and localized vendor negotiations. While this decentralized philosophy allowed intimate local market adaptation during the 20th century, the advent of global trade agreements, regional economic integration, and multi-national retail giants (e.g., Walmart, Carrefour) turned this autonomy into a severe strategic liability. Nestlé was competing as hundreds of isolated small entities rather than a unified global powerhouse.</w:t>
      </w:r>
    </w:p>
    <w:p>
      <w:pPr>
        <w:keepNext/>
        <w:spacing w:before="320" w:after="100"/>
      </w:pPr>
      <w:r>
        <w:rPr>
          <w:rFonts w:ascii="Arial" w:hAnsi="Arial"/>
          <w:b/>
          <w:color w:val="003366"/>
          <w:sz w:val="28"/>
        </w:rPr>
        <w:t>2. Business Drivers &amp; Reasons for Implementing SAP FICO</w:t>
      </w:r>
    </w:p>
    <w:p>
      <w:pPr>
        <w:spacing w:before="0" w:after="80" w:line="276" w:lineRule="auto"/>
      </w:pPr>
      <w:r>
        <w:rPr>
          <w:rFonts w:ascii="Arial" w:hAnsi="Arial"/>
          <w:color w:val="1E293B"/>
          <w:sz w:val="19"/>
        </w:rPr>
        <w:t>By the late 1990s, internal operational inefficiencies and mounting market pressures forced Nestlé's executive leadership to confront several structural pain points across finance, accounting, and supply chain management:</w:t>
      </w:r>
    </w:p>
    <w:p>
      <w:pPr>
        <w:pStyle w:val="ListBullet"/>
        <w:spacing w:before="20" w:after="60" w:line="269" w:lineRule="auto"/>
      </w:pPr>
      <w:r>
        <w:rPr>
          <w:rFonts w:ascii="Arial" w:hAnsi="Arial"/>
          <w:b/>
          <w:color w:val="003366"/>
          <w:sz w:val="19"/>
        </w:rPr>
        <w:t xml:space="preserve">Severe System Balkanization: </w:t>
      </w:r>
      <w:r>
        <w:rPr>
          <w:rFonts w:ascii="Arial" w:hAnsi="Arial"/>
          <w:color w:val="1E293B"/>
          <w:sz w:val="19"/>
        </w:rPr>
        <w:t>Over 80 independent IT and financial software systems operated globally, ranging from early SAP R/2 and R/3 instances to BPCS, custom AS/400 applications, and localized accounting packages. Over 100 decentralized data centers multiplied hardware maintenance, licensing, and disaster recovery costs.</w:t>
      </w:r>
    </w:p>
    <w:p>
      <w:pPr>
        <w:pStyle w:val="ListBullet"/>
        <w:spacing w:before="20" w:after="60" w:line="269" w:lineRule="auto"/>
      </w:pPr>
      <w:r>
        <w:rPr>
          <w:rFonts w:ascii="Arial" w:hAnsi="Arial"/>
          <w:b/>
          <w:color w:val="003366"/>
          <w:sz w:val="19"/>
        </w:rPr>
        <w:t xml:space="preserve">The Vanilla Pricing Paradox: </w:t>
      </w:r>
      <w:r>
        <w:rPr>
          <w:rFonts w:ascii="Arial" w:hAnsi="Arial"/>
          <w:color w:val="1E293B"/>
          <w:sz w:val="19"/>
        </w:rPr>
        <w:t>A worldwide procurement audit revealed that 20 different Nestlé operating companies were purchasing vanilla from the exact same supplier under 20 distinct vendor account numbers and at 20 different negotiated prices. Similar price disparities plagued coffee beans, cocoa butter, milk solids, and packaging procurement.</w:t>
      </w:r>
    </w:p>
    <w:p>
      <w:pPr>
        <w:pStyle w:val="ListBullet"/>
        <w:spacing w:before="20" w:after="60" w:line="269" w:lineRule="auto"/>
      </w:pPr>
      <w:r>
        <w:rPr>
          <w:rFonts w:ascii="Arial" w:hAnsi="Arial"/>
          <w:b/>
          <w:color w:val="003366"/>
          <w:sz w:val="19"/>
        </w:rPr>
        <w:t xml:space="preserve">Month-End Closing Latency (18–25 Days): </w:t>
      </w:r>
      <w:r>
        <w:rPr>
          <w:rFonts w:ascii="Arial" w:hAnsi="Arial"/>
          <w:color w:val="1E293B"/>
          <w:sz w:val="19"/>
        </w:rPr>
        <w:t>Compiling group financial statements at Vevey required 18 to 25 business days each month. Financial consolidation relied on manual spreadsheet mapping, journal reconciliations, and currency adjustments, leaving executives with outdated telemetry.</w:t>
      </w:r>
    </w:p>
    <w:p>
      <w:pPr>
        <w:pStyle w:val="ListBullet"/>
        <w:spacing w:before="20" w:after="60" w:line="269" w:lineRule="auto"/>
      </w:pPr>
      <w:r>
        <w:rPr>
          <w:rFonts w:ascii="Arial" w:hAnsi="Arial"/>
          <w:b/>
          <w:color w:val="003366"/>
          <w:sz w:val="19"/>
        </w:rPr>
        <w:t xml:space="preserve">Multi-GAAP &amp; Currency Complexity: </w:t>
      </w:r>
      <w:r>
        <w:rPr>
          <w:rFonts w:ascii="Arial" w:hAnsi="Arial"/>
          <w:color w:val="1E293B"/>
          <w:sz w:val="19"/>
        </w:rPr>
        <w:t>Subsidiaries struggled to balance local statutory reporting (in local currencies compliant with domestic GAAP) against group consolidated reporting (in Swiss Francs under IFRS). Reconciling differences manually produced substantial audit exposure.</w:t>
      </w:r>
    </w:p>
    <w:p>
      <w:pPr>
        <w:pStyle w:val="ListBullet"/>
        <w:spacing w:before="20" w:after="60" w:line="269" w:lineRule="auto"/>
      </w:pPr>
      <w:r>
        <w:rPr>
          <w:rFonts w:ascii="Arial" w:hAnsi="Arial"/>
          <w:b/>
          <w:color w:val="003366"/>
          <w:sz w:val="19"/>
        </w:rPr>
        <w:t xml:space="preserve">Intercompany Reconciliation Gridlock: </w:t>
      </w:r>
      <w:r>
        <w:rPr>
          <w:rFonts w:ascii="Arial" w:hAnsi="Arial"/>
          <w:color w:val="1E293B"/>
          <w:sz w:val="19"/>
        </w:rPr>
        <w:t>With thousands of cross-border material shipments between factories and national sales companies, goods in transit frequently went unrecorded, resulting in tens of millions of Swiss Francs sitting in unresolved intercompany suspense accounts.</w:t>
      </w:r>
    </w:p>
    <w:p>
      <w:pPr>
        <w:pStyle w:val="ListBullet"/>
        <w:spacing w:before="20" w:after="60" w:line="269" w:lineRule="auto"/>
      </w:pPr>
      <w:r>
        <w:rPr>
          <w:rFonts w:ascii="Arial" w:hAnsi="Arial"/>
          <w:b/>
          <w:color w:val="003366"/>
          <w:sz w:val="19"/>
        </w:rPr>
        <w:t xml:space="preserve">Lack of Brand and SKU Profitability Visibility: </w:t>
      </w:r>
      <w:r>
        <w:rPr>
          <w:rFonts w:ascii="Arial" w:hAnsi="Arial"/>
          <w:color w:val="1E293B"/>
          <w:sz w:val="19"/>
        </w:rPr>
        <w:t>Management could not calculate the true net contribution margin of individual products across retail channels. Trade promotions, off-invoice discounts, and outbound logistics costs were unallocated, masking unprofitable product lines.</w:t>
      </w:r>
    </w:p>
    <w:p>
      <w:pPr>
        <w:pStyle w:val="ListBullet"/>
        <w:spacing w:before="20" w:after="60" w:line="269" w:lineRule="auto"/>
      </w:pPr>
      <w:r>
        <w:rPr>
          <w:rFonts w:ascii="Arial" w:hAnsi="Arial"/>
          <w:b/>
          <w:color w:val="003366"/>
          <w:sz w:val="19"/>
        </w:rPr>
        <w:t xml:space="preserve">Working Capital Inefficiencies: </w:t>
      </w:r>
      <w:r>
        <w:rPr>
          <w:rFonts w:ascii="Arial" w:hAnsi="Arial"/>
          <w:color w:val="1E293B"/>
          <w:sz w:val="19"/>
        </w:rPr>
        <w:t>Disconnected inventory and financial ledgers caused inflated buffer safety stocks, resulting in 65+ days of inventory on hand (DOH) and unnecessary working capital lock-up.</w:t>
      </w: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80" w:type="dxa"/>
            </w:tcMar>
            <w:tcBorders>
              <w:left w:val="single" w:sz="24" w:space="0" w:color="D97706"/>
              <w:top w:val="none"/>
              <w:right w:val="none"/>
              <w:bottom w:val="none"/>
            </w:tcBorders>
          </w:tcPr>
          <w:p>
            <w:pPr>
              <w:spacing w:before="40" w:after="40" w:line="276" w:lineRule="auto"/>
            </w:pPr>
            <w:r>
              <w:rPr>
                <w:rFonts w:ascii="Arial" w:hAnsi="Arial"/>
                <w:b/>
                <w:color w:val="D97706"/>
                <w:sz w:val="20"/>
              </w:rPr>
              <w:t>The Catalyst for Transformation</w:t>
              <w:br/>
            </w:r>
            <w:r>
              <w:rPr>
                <w:rFonts w:ascii="Arial" w:hAnsi="Arial"/>
                <w:i/>
                <w:color w:val="1E293B"/>
                <w:sz w:val="19"/>
              </w:rPr>
              <w:t>The 'Vanilla Pricing Paradox' became the definitive symbol of Nestlé's fragmentation. Suppliers actively leveraged Nestlé's internal blindness to maximize supplier profits, while Nestlé squandered billions in collective bargaining power.</w:t>
            </w:r>
          </w:p>
        </w:tc>
      </w:tr>
    </w:tbl>
    <w:p>
      <w:pPr>
        <w:spacing w:after="80"/>
      </w:pPr>
    </w:p>
    <w:p>
      <w:pPr>
        <w:keepNext/>
        <w:spacing w:before="320" w:after="100"/>
      </w:pPr>
      <w:r>
        <w:rPr>
          <w:rFonts w:ascii="Arial" w:hAnsi="Arial"/>
          <w:b/>
          <w:color w:val="003366"/>
          <w:sz w:val="28"/>
        </w:rPr>
        <w:t>3. Strategic Vision &amp; Methodology: The GLOBE Framework</w:t>
      </w:r>
    </w:p>
    <w:p>
      <w:pPr>
        <w:keepNext/>
        <w:spacing w:before="240" w:after="60"/>
      </w:pPr>
      <w:r>
        <w:rPr>
          <w:rFonts w:ascii="Arial" w:hAnsi="Arial"/>
          <w:b/>
          <w:color w:val="1E4078"/>
          <w:sz w:val="23"/>
        </w:rPr>
        <w:t>3.1 The Three Pillars of Project GLOBE</w:t>
      </w:r>
    </w:p>
    <w:p>
      <w:pPr>
        <w:spacing w:before="0" w:after="80" w:line="276" w:lineRule="auto"/>
      </w:pPr>
      <w:r>
        <w:rPr>
          <w:rFonts w:ascii="Arial" w:hAnsi="Arial"/>
          <w:color w:val="1E293B"/>
          <w:sz w:val="19"/>
        </w:rPr>
        <w:t>In 2000, Nestlé launched Project GLOBE with a CHF 3.0 Billion (~$2.4 Billion USD) investment, structured around three synchronized pillars: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94A3B8"/>
              <w:top w:val="single" w:sz="4" w:space="0" w:color="CBD5E1"/>
              <w:right w:val="single" w:sz="4" w:space="0" w:color="CBD5E1"/>
              <w:bottom w:val="single" w:sz="4" w:space="0" w:color="CBD5E1"/>
            </w:tcBorders>
          </w:tcPr>
          <w:p>
            <w:pPr>
              <w:spacing w:before="40" w:after="40" w:line="252" w:lineRule="auto"/>
            </w:pPr>
            <w:r>
              <w:rPr>
                <w:rFonts w:ascii="Consolas" w:hAnsi="Consolas"/>
                <w:color w:val="1E293B"/>
                <w:sz w:val="17"/>
              </w:rPr>
              <w:t>+-------------------------------------------------------------------------+</w:t>
              <w:br/>
              <w:t>|                        THE THREE PILLARS OF GLOBE                       |</w:t>
              <w:br/>
              <w:t>+--------------------+--------------------+-------------------------------+</w:t>
              <w:br/>
              <w:t>| 1. BEST PRACTICES  | 2. DATA STANDARDS  | 3. INFORMATION TECHNOLOGY     |</w:t>
              <w:br/>
              <w:t>+--------------------+--------------------+-------------------------------+</w:t>
              <w:br/>
              <w:t>| Harmonized global  | Single global data | Standardized SAP ERP instance |</w:t>
              <w:br/>
              <w:t>| business processes | dictionary. Single | deployed across four high-     |</w:t>
              <w:br/>
              <w:t>| across all markets.| vendor, customer,  | performance regional data     |</w:t>
              <w:br/>
              <w:t>| No local custom-   | material, and GL   | centers (Europe, Americas,    |</w:t>
              <w:br/>
              <w:t>| izing permitted.   | account keys.      | Asia-Pacific, Latin America). |</w:t>
              <w:br/>
              <w:t>+--------------------+--------------------+-------------------------------+</w:t>
            </w:r>
          </w:p>
        </w:tc>
      </w:tr>
    </w:tbl>
    <w:p>
      <w:pPr>
        <w:spacing w:after="80"/>
      </w:pPr>
    </w:p>
    <w:p>
      <w:pPr>
        <w:keepNext/>
        <w:spacing w:before="240" w:after="60"/>
      </w:pPr>
      <w:r>
        <w:rPr>
          <w:rFonts w:ascii="Arial" w:hAnsi="Arial"/>
          <w:b/>
          <w:color w:val="1E4078"/>
          <w:sz w:val="23"/>
        </w:rPr>
        <w:t>3.2 Implementation Methodology: ASAP to Continuous Activate</w:t>
      </w:r>
    </w:p>
    <w:p>
      <w:pPr>
        <w:spacing w:before="0" w:after="80" w:line="276" w:lineRule="auto"/>
      </w:pPr>
      <w:r>
        <w:rPr>
          <w:rFonts w:ascii="Arial" w:hAnsi="Arial"/>
          <w:color w:val="1E293B"/>
          <w:sz w:val="19"/>
        </w:rPr>
        <w:t>Nestlé utilized Accelerated SAP (ASAP) methodology, evolving into modern SAP Activate principles across 5 structured phases:</w:t>
      </w:r>
    </w:p>
    <w:p>
      <w:pPr>
        <w:pStyle w:val="ListBullet"/>
        <w:spacing w:before="20" w:after="60" w:line="269" w:lineRule="auto"/>
      </w:pPr>
      <w:r>
        <w:rPr>
          <w:rFonts w:ascii="Arial" w:hAnsi="Arial"/>
          <w:b/>
          <w:color w:val="003366"/>
          <w:sz w:val="19"/>
        </w:rPr>
        <w:t xml:space="preserve">Phase 1: Project Preparation: </w:t>
      </w:r>
      <w:r>
        <w:rPr>
          <w:rFonts w:ascii="Arial" w:hAnsi="Arial"/>
          <w:color w:val="1E293B"/>
          <w:sz w:val="19"/>
        </w:rPr>
        <w:t>Executive governance, chartering the 80% standard / 20% local statutory principle, and mobilizing 400+ business process experts.</w:t>
      </w:r>
    </w:p>
    <w:p>
      <w:pPr>
        <w:pStyle w:val="ListBullet"/>
        <w:spacing w:before="20" w:after="60" w:line="269" w:lineRule="auto"/>
      </w:pPr>
      <w:r>
        <w:rPr>
          <w:rFonts w:ascii="Arial" w:hAnsi="Arial"/>
          <w:b/>
          <w:color w:val="003366"/>
          <w:sz w:val="19"/>
        </w:rPr>
        <w:t xml:space="preserve">Phase 2: Business Blueprint (The GLOBE Template): </w:t>
      </w:r>
      <w:r>
        <w:rPr>
          <w:rFonts w:ascii="Arial" w:hAnsi="Arial"/>
          <w:color w:val="1E293B"/>
          <w:sz w:val="19"/>
        </w:rPr>
        <w:t>Formulating global Record-to-Report (R2R), Procure-to-Pay (P2P), and Order-to-Cash (O2C) flows, along with uniform enterprise structures.</w:t>
      </w:r>
    </w:p>
    <w:p>
      <w:pPr>
        <w:pStyle w:val="ListBullet"/>
        <w:spacing w:before="20" w:after="60" w:line="269" w:lineRule="auto"/>
      </w:pPr>
      <w:r>
        <w:rPr>
          <w:rFonts w:ascii="Arial" w:hAnsi="Arial"/>
          <w:b/>
          <w:color w:val="003366"/>
          <w:sz w:val="19"/>
        </w:rPr>
        <w:t xml:space="preserve">Phase 3: Realization: </w:t>
      </w:r>
      <w:r>
        <w:rPr>
          <w:rFonts w:ascii="Arial" w:hAnsi="Arial"/>
          <w:color w:val="1E293B"/>
          <w:sz w:val="19"/>
        </w:rPr>
        <w:t>SPRO customizing in the Development landscape (DEV), configuring automated account determination, parallel ledgers, and building approved RICEFW components.</w:t>
      </w:r>
    </w:p>
    <w:p>
      <w:pPr>
        <w:pStyle w:val="ListBullet"/>
        <w:spacing w:before="20" w:after="60" w:line="269" w:lineRule="auto"/>
      </w:pPr>
      <w:r>
        <w:rPr>
          <w:rFonts w:ascii="Arial" w:hAnsi="Arial"/>
          <w:b/>
          <w:color w:val="003366"/>
          <w:sz w:val="19"/>
        </w:rPr>
        <w:t xml:space="preserve">Phase 4: Final Preparation: </w:t>
      </w:r>
      <w:r>
        <w:rPr>
          <w:rFonts w:ascii="Arial" w:hAnsi="Arial"/>
          <w:color w:val="1E293B"/>
          <w:sz w:val="19"/>
        </w:rPr>
        <w:t>Executing three full System Integration Testing (SIT) cycles, User Acceptance Testing (UAT), cutover dress rehearsals, and data migration via LSMW.</w:t>
      </w:r>
    </w:p>
    <w:p>
      <w:pPr>
        <w:pStyle w:val="ListBullet"/>
        <w:spacing w:before="20" w:after="60" w:line="269" w:lineRule="auto"/>
      </w:pPr>
      <w:r>
        <w:rPr>
          <w:rFonts w:ascii="Arial" w:hAnsi="Arial"/>
          <w:b/>
          <w:color w:val="003366"/>
          <w:sz w:val="19"/>
        </w:rPr>
        <w:t xml:space="preserve">Phase 5: Go-Live &amp; Hypercare: </w:t>
      </w:r>
      <w:r>
        <w:rPr>
          <w:rFonts w:ascii="Arial" w:hAnsi="Arial"/>
          <w:color w:val="1E293B"/>
          <w:sz w:val="19"/>
        </w:rPr>
        <w:t>Phased geographic waves supported by 24/7 war rooms, floor super-users, and operational stabilization.</w:t>
      </w:r>
    </w:p>
    <w:p>
      <w:pPr>
        <w:keepNext/>
        <w:spacing w:before="320" w:after="100"/>
      </w:pPr>
      <w:r>
        <w:rPr>
          <w:rFonts w:ascii="Arial" w:hAnsi="Arial"/>
          <w:b/>
          <w:color w:val="003366"/>
          <w:sz w:val="28"/>
        </w:rPr>
        <w:t>4. Enterprise Structure Blueprint in SAP FICO</w:t>
      </w:r>
    </w:p>
    <w:p>
      <w:pPr>
        <w:spacing w:before="0" w:after="80" w:line="276" w:lineRule="auto"/>
      </w:pPr>
      <w:r>
        <w:rPr>
          <w:rFonts w:ascii="Arial" w:hAnsi="Arial"/>
          <w:color w:val="1E293B"/>
          <w:sz w:val="19"/>
        </w:rPr>
        <w:t>To balance centralized global financial reporting with decentralized statutory legal accountability, Nestlé engineered an enterprise hierarchy in SAP:</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94A3B8"/>
              <w:top w:val="single" w:sz="4" w:space="0" w:color="CBD5E1"/>
              <w:right w:val="single" w:sz="4" w:space="0" w:color="CBD5E1"/>
              <w:bottom w:val="single" w:sz="4" w:space="0" w:color="CBD5E1"/>
            </w:tcBorders>
          </w:tcPr>
          <w:p>
            <w:pPr>
              <w:spacing w:before="40" w:after="40" w:line="252" w:lineRule="auto"/>
            </w:pPr>
            <w:r>
              <w:rPr>
                <w:rFonts w:ascii="Consolas" w:hAnsi="Consolas"/>
                <w:color w:val="1E293B"/>
                <w:sz w:val="17"/>
              </w:rPr>
              <w:t xml:space="preserve">                      +---------------------------------------+</w:t>
              <w:br/>
              <w:t xml:space="preserve">                      |         NESTLÉ GROUP CLIENT           |</w:t>
              <w:br/>
              <w:t xml:space="preserve">                      |    (Global Unified SAP Instance)      |</w:t>
              <w:br/>
              <w:t xml:space="preserve">                      +-------------------+-------------------+</w:t>
              <w:br/>
              <w:t xml:space="preserve">                                          |</w:t>
              <w:br/>
              <w:t xml:space="preserve">                                          v</w:t>
              <w:br/>
              <w:t xml:space="preserve">                      +---------------------------------------+</w:t>
              <w:br/>
              <w:t xml:space="preserve">                      |       GLOBAL OPERATING CONCERN        |</w:t>
              <w:br/>
              <w:t xml:space="preserve">                      |   (CO-PA Multi-Dimensional Margin)    |</w:t>
              <w:br/>
              <w:t xml:space="preserve">                      +-------------------+-------------------+</w:t>
              <w:br/>
              <w:t xml:space="preserve">                                          |</w:t>
              <w:br/>
              <w:t xml:space="preserve">                                          v</w:t>
              <w:br/>
              <w:t xml:space="preserve">                      +---------------------------------------+</w:t>
              <w:br/>
              <w:t xml:space="preserve">                      |        GLOBAL CONTROLLING AREA        |</w:t>
              <w:br/>
              <w:t xml:space="preserve">                      |   (CO-CCA, PCA, PC: Cross-Co-Code CO) |</w:t>
              <w:br/>
              <w:t xml:space="preserve">                      +-------------------+-------------------+</w:t>
              <w:br/>
              <w:t xml:space="preserve">                                          |</w:t>
              <w:br/>
              <w:t xml:space="preserve">             +----------------------------+----------------------------+</w:t>
              <w:br/>
              <w:t xml:space="preserve">             |                                                         |</w:t>
              <w:br/>
              <w:t xml:space="preserve">             v                                                         v</w:t>
              <w:br/>
              <w:t xml:space="preserve">    +---------------------------------+                       +---------------------------------+</w:t>
              <w:br/>
              <w:t xml:space="preserve">    |  COMPANY CODE: CH01 (Nestlé CH) |                       |  COMPANY CODE: US01 (Nestlé US) |</w:t>
              <w:br/>
              <w:t xml:space="preserve">    |  - Local Currency: CHF          |                       |  - Local Currency: USD          |</w:t>
              <w:br/>
              <w:t xml:space="preserve">    |  - Chart of Accounts: GLCOA     |                       |  - Chart of Accounts: GLCOA     |</w:t>
              <w:br/>
              <w:t xml:space="preserve">    |  - Fiscal Year Variant: K4      |                       |  - Fiscal Year Variant: K4      |</w:t>
              <w:br/>
              <w:t xml:space="preserve">    +----------------+----------------+                       +----------------+----------------+</w:t>
              <w:br/>
              <w:t xml:space="preserve">                     |                                                         |</w:t>
              <w:br/>
              <w:t xml:space="preserve">          +----------+----------+                                   +----------+----------+</w:t>
              <w:br/>
              <w:t xml:space="preserve">          |                     |                                   |                     |</w:t>
              <w:br/>
              <w:t xml:space="preserve">          v                     v                                   v                     v</w:t>
              <w:br/>
              <w:t xml:space="preserve">    +-----------+         +-----------+                       +-----------+         +-----------+</w:t>
              <w:br/>
              <w:t xml:space="preserve">    | Plant CH10|         | Plant CH20|                       | Plant US10|         | Plant US20|</w:t>
              <w:br/>
              <w:t xml:space="preserve">    |  (Vevey)  |         | (Brok/Ca) |                       | (Solon/OH)|         | (Freeport)|</w:t>
              <w:br/>
              <w:t xml:space="preserve">    +-----------+         +-----------+                       +-----------+         +-----------+</w:t>
            </w:r>
          </w:p>
        </w:tc>
      </w:tr>
    </w:tbl>
    <w:p>
      <w:pPr>
        <w:spacing w:after="80"/>
      </w:pPr>
    </w:p>
    <w:p>
      <w:pPr>
        <w:spacing w:before="0" w:after="80" w:line="276" w:lineRule="auto"/>
      </w:pPr>
      <w:r>
        <w:rPr>
          <w:rFonts w:ascii="Arial" w:hAnsi="Arial"/>
          <w:color w:val="1E293B"/>
          <w:sz w:val="19"/>
        </w:rPr>
        <w:t>Key design decisions in this structure included: (1) A single global Client ensuring centralized master data governance; (2) A global Operating Concern enabling standardized CO-PA profitability reporting; (3) Cross-Company-Code Controlling Areas sharing an Operational Chart of Accounts and Fiscal Year Variant K4 (12 calendar periods + 4 special closing periods); and (4) Distinct Company Codes for each legal entity to guarantee independent statutory compliance.</w:t>
      </w:r>
    </w:p>
    <w:p>
      <w:pPr>
        <w:keepNext/>
        <w:spacing w:before="320" w:after="100"/>
      </w:pPr>
      <w:r>
        <w:rPr>
          <w:rFonts w:ascii="Arial" w:hAnsi="Arial"/>
          <w:b/>
          <w:color w:val="003366"/>
          <w:sz w:val="28"/>
        </w:rPr>
        <w:t>5. Deep-Dive: SAP Financial Accounting (FI) Submodules</w:t>
      </w:r>
    </w:p>
    <w:p>
      <w:pPr>
        <w:keepNext/>
        <w:spacing w:before="240" w:after="60"/>
      </w:pPr>
      <w:r>
        <w:rPr>
          <w:rFonts w:ascii="Arial" w:hAnsi="Arial"/>
          <w:b/>
          <w:color w:val="1E4078"/>
          <w:sz w:val="23"/>
        </w:rPr>
        <w:t>5.1 General Ledger Accounting (FI-GL)</w:t>
      </w:r>
    </w:p>
    <w:p>
      <w:pPr>
        <w:spacing w:before="0" w:after="80" w:line="276" w:lineRule="auto"/>
      </w:pPr>
      <w:r>
        <w:rPr>
          <w:rFonts w:ascii="Arial" w:hAnsi="Arial"/>
          <w:color w:val="1E293B"/>
          <w:sz w:val="19"/>
        </w:rPr>
        <w:t>The General Ledger was configured as the ultimate single source of truth across all financial transactions:</w:t>
      </w:r>
    </w:p>
    <w:p>
      <w:pPr>
        <w:pStyle w:val="ListBullet"/>
        <w:spacing w:before="20" w:after="60" w:line="269" w:lineRule="auto"/>
      </w:pPr>
      <w:r>
        <w:rPr>
          <w:rFonts w:ascii="Arial" w:hAnsi="Arial"/>
          <w:b/>
          <w:color w:val="003366"/>
          <w:sz w:val="19"/>
        </w:rPr>
        <w:t xml:space="preserve">Harmonized Chart of Accounts (COA): </w:t>
      </w:r>
      <w:r>
        <w:rPr>
          <w:rFonts w:ascii="Arial" w:hAnsi="Arial"/>
          <w:color w:val="1E293B"/>
          <w:sz w:val="19"/>
        </w:rPr>
        <w:t>Replaced hundreds of disparate local ledgers with a single Global Operational Chart of Accounts (GLCOA) containing ~1,500 disciplined accounts. A Group Chart of Accounts automated corporate reporting line roll-ups.</w:t>
      </w:r>
    </w:p>
    <w:p>
      <w:pPr>
        <w:pStyle w:val="ListBullet"/>
        <w:spacing w:before="20" w:after="60" w:line="269" w:lineRule="auto"/>
      </w:pPr>
      <w:r>
        <w:rPr>
          <w:rFonts w:ascii="Arial" w:hAnsi="Arial"/>
          <w:b/>
          <w:color w:val="003366"/>
          <w:sz w:val="19"/>
        </w:rPr>
        <w:t xml:space="preserve">Document Splitting: </w:t>
      </w:r>
      <w:r>
        <w:rPr>
          <w:rFonts w:ascii="Arial" w:hAnsi="Arial"/>
          <w:color w:val="1E293B"/>
          <w:sz w:val="19"/>
        </w:rPr>
        <w:t>Configured in SPRO to automatically split every balance sheet line item (Accounts Payable, Accounts Receivable, Tax, and Cash) by Profit Center and Segment (IFRS 8). This enabled real-time, audit-ready balance sheets and P&amp;L statements by product division without manual month-end allocations.</w:t>
      </w:r>
    </w:p>
    <w:p>
      <w:pPr>
        <w:pStyle w:val="ListBullet"/>
        <w:spacing w:before="20" w:after="60" w:line="269" w:lineRule="auto"/>
      </w:pPr>
      <w:r>
        <w:rPr>
          <w:rFonts w:ascii="Arial" w:hAnsi="Arial"/>
          <w:b/>
          <w:color w:val="003366"/>
          <w:sz w:val="19"/>
        </w:rPr>
        <w:t xml:space="preserve">Parallel Accounting (Multi-Ledger): </w:t>
      </w:r>
      <w:r>
        <w:rPr>
          <w:rFonts w:ascii="Arial" w:hAnsi="Arial"/>
          <w:color w:val="1E293B"/>
          <w:sz w:val="19"/>
        </w:rPr>
        <w:t>Leading Ledger (0L) maintained group accounting under IFRS in Group Currency (CHF). Non-Leading Ledgers (e.g., L1, L2) captured local statutory, fiscal, and tax depreciation rules in national currencies.</w:t>
      </w:r>
    </w:p>
    <w:p>
      <w:pPr>
        <w:keepNext/>
        <w:spacing w:before="240" w:after="60"/>
      </w:pPr>
      <w:r>
        <w:rPr>
          <w:rFonts w:ascii="Arial" w:hAnsi="Arial"/>
          <w:b/>
          <w:color w:val="1E4078"/>
          <w:sz w:val="23"/>
        </w:rPr>
        <w:t>5.2 Accounts Payable (FI-AP) &amp; Procure-to-Pay (P2P)</w:t>
      </w:r>
    </w:p>
    <w:p>
      <w:pPr>
        <w:spacing w:before="0" w:after="80" w:line="276" w:lineRule="auto"/>
      </w:pPr>
      <w:r>
        <w:rPr>
          <w:rFonts w:ascii="Arial" w:hAnsi="Arial"/>
          <w:color w:val="1E293B"/>
          <w:sz w:val="19"/>
        </w:rPr>
        <w:t>Accounts Payable was standardized to eliminate procurement waste and capture volume discounts:</w:t>
      </w:r>
    </w:p>
    <w:p>
      <w:pPr>
        <w:pStyle w:val="ListBullet"/>
        <w:spacing w:before="20" w:after="60" w:line="269" w:lineRule="auto"/>
      </w:pPr>
      <w:r>
        <w:rPr>
          <w:rFonts w:ascii="Arial" w:hAnsi="Arial"/>
          <w:b/>
          <w:color w:val="003366"/>
          <w:sz w:val="19"/>
        </w:rPr>
        <w:t xml:space="preserve">Harmonized Vendor Master: </w:t>
      </w:r>
      <w:r>
        <w:rPr>
          <w:rFonts w:ascii="Arial" w:hAnsi="Arial"/>
          <w:color w:val="1E293B"/>
          <w:sz w:val="19"/>
        </w:rPr>
        <w:t>Every supplier received a single global vendor account with standardized tax and bank identifiers, exposing worldwide purchase volumes and eliminating duplicate vendor records.</w:t>
      </w:r>
    </w:p>
    <w:p>
      <w:pPr>
        <w:pStyle w:val="ListBullet"/>
        <w:spacing w:before="20" w:after="60" w:line="269" w:lineRule="auto"/>
      </w:pPr>
      <w:r>
        <w:rPr>
          <w:rFonts w:ascii="Arial" w:hAnsi="Arial"/>
          <w:b/>
          <w:color w:val="003366"/>
          <w:sz w:val="19"/>
        </w:rPr>
        <w:t xml:space="preserve">Automated 3-Way Matching (MM-LIV): </w:t>
      </w:r>
      <w:r>
        <w:rPr>
          <w:rFonts w:ascii="Arial" w:hAnsi="Arial"/>
          <w:color w:val="1E293B"/>
          <w:sz w:val="19"/>
        </w:rPr>
        <w:t>Integrated with Logistics Invoice Verification (T-Code MIRO). Invoices were validated automatically: Purchase Order (PO) = Goods Receipt (MIGO) = Vendor Invoice (MIRO). Variances outside tolerance limits (PP, BD) triggered automated workflow approval blocks.</w:t>
      </w:r>
    </w:p>
    <w:p>
      <w:pPr>
        <w:pStyle w:val="ListBullet"/>
        <w:spacing w:before="20" w:after="60" w:line="269" w:lineRule="auto"/>
      </w:pPr>
      <w:r>
        <w:rPr>
          <w:rFonts w:ascii="Arial" w:hAnsi="Arial"/>
          <w:b/>
          <w:color w:val="003366"/>
          <w:sz w:val="19"/>
        </w:rPr>
        <w:t xml:space="preserve">Automated Payment Program (F110): </w:t>
      </w:r>
      <w:r>
        <w:rPr>
          <w:rFonts w:ascii="Arial" w:hAnsi="Arial"/>
          <w:color w:val="1E293B"/>
          <w:sz w:val="19"/>
        </w:rPr>
        <w:t>Centralized payment runs operated from shared service centers using ISO 20022 XML formats and SWIFTNet connectivity, capturing prompt payment discounts (e.g., 2/10 Net 30) across billions in annual spend.</w:t>
      </w:r>
    </w:p>
    <w:p>
      <w:pPr>
        <w:keepNext/>
        <w:spacing w:before="240" w:after="60"/>
      </w:pPr>
      <w:r>
        <w:rPr>
          <w:rFonts w:ascii="Arial" w:hAnsi="Arial"/>
          <w:b/>
          <w:color w:val="1E4078"/>
          <w:sz w:val="23"/>
        </w:rPr>
        <w:t>5.3 Accounts Receivable (FI-AR) &amp; Order-to-Cash (O2C)</w:t>
      </w:r>
    </w:p>
    <w:p>
      <w:pPr>
        <w:spacing w:before="0" w:after="80" w:line="276" w:lineRule="auto"/>
      </w:pPr>
      <w:r>
        <w:rPr>
          <w:rFonts w:ascii="Arial" w:hAnsi="Arial"/>
          <w:color w:val="1E293B"/>
          <w:sz w:val="19"/>
        </w:rPr>
        <w:t>Receivables management across retail chains, supermarkets, and distributors was hardened against credit risk:</w:t>
      </w:r>
    </w:p>
    <w:p>
      <w:pPr>
        <w:pStyle w:val="ListBullet"/>
        <w:spacing w:before="20" w:after="60" w:line="269" w:lineRule="auto"/>
      </w:pPr>
      <w:r>
        <w:rPr>
          <w:rFonts w:ascii="Arial" w:hAnsi="Arial"/>
          <w:b/>
          <w:color w:val="003366"/>
          <w:sz w:val="19"/>
        </w:rPr>
        <w:t xml:space="preserve">Centralized Credit Management: </w:t>
      </w:r>
      <w:r>
        <w:rPr>
          <w:rFonts w:ascii="Arial" w:hAnsi="Arial"/>
          <w:color w:val="1E293B"/>
          <w:sz w:val="19"/>
        </w:rPr>
        <w:t>Automated credit limit checks evaluated customer risk classes at sales order entry (VA01). If a customer exceeded credit limits or aged debt thresholds, orders were blocked automatically.</w:t>
      </w:r>
    </w:p>
    <w:p>
      <w:pPr>
        <w:pStyle w:val="ListBullet"/>
        <w:spacing w:before="20" w:after="60" w:line="269" w:lineRule="auto"/>
      </w:pPr>
      <w:r>
        <w:rPr>
          <w:rFonts w:ascii="Arial" w:hAnsi="Arial"/>
          <w:b/>
          <w:color w:val="003366"/>
          <w:sz w:val="19"/>
        </w:rPr>
        <w:t xml:space="preserve">Automated Cash Application (EBS &amp; Lockbox): </w:t>
      </w:r>
      <w:r>
        <w:rPr>
          <w:rFonts w:ascii="Arial" w:hAnsi="Arial"/>
          <w:color w:val="1E293B"/>
          <w:sz w:val="19"/>
        </w:rPr>
        <w:t>Configured electronic bank statement processing (MT940 / BAI2). Machine algorithms matched incoming bank remittances against open customer items, driving automated cash application above 90%.</w:t>
      </w:r>
    </w:p>
    <w:p>
      <w:pPr>
        <w:pStyle w:val="ListBullet"/>
        <w:spacing w:before="20" w:after="60" w:line="269" w:lineRule="auto"/>
      </w:pPr>
      <w:r>
        <w:rPr>
          <w:rFonts w:ascii="Arial" w:hAnsi="Arial"/>
          <w:b/>
          <w:color w:val="003366"/>
          <w:sz w:val="19"/>
        </w:rPr>
        <w:t xml:space="preserve">Dunning &amp; Dispute Management: </w:t>
      </w:r>
      <w:r>
        <w:rPr>
          <w:rFonts w:ascii="Arial" w:hAnsi="Arial"/>
          <w:color w:val="1E293B"/>
          <w:sz w:val="19"/>
        </w:rPr>
        <w:t>Standardized dunning cycles (T-Code F150) and invoice deduction tracking ensured promotional and freight claims were resolved systematically.</w:t>
      </w:r>
    </w:p>
    <w:p>
      <w:pPr>
        <w:keepNext/>
        <w:spacing w:before="240" w:after="60"/>
      </w:pPr>
      <w:r>
        <w:rPr>
          <w:rFonts w:ascii="Arial" w:hAnsi="Arial"/>
          <w:b/>
          <w:color w:val="1E4078"/>
          <w:sz w:val="23"/>
        </w:rPr>
        <w:t>5.4 Asset Accounting (FI-AA) &amp; Capital Investments</w:t>
      </w:r>
    </w:p>
    <w:p>
      <w:pPr>
        <w:spacing w:before="0" w:after="80" w:line="276" w:lineRule="auto"/>
      </w:pPr>
      <w:r>
        <w:rPr>
          <w:rFonts w:ascii="Arial" w:hAnsi="Arial"/>
          <w:color w:val="1E293B"/>
          <w:sz w:val="19"/>
        </w:rPr>
        <w:t>Asset Accounting standardized fixed asset management across 350+ manufacturing plants:</w:t>
      </w:r>
    </w:p>
    <w:p>
      <w:pPr>
        <w:pStyle w:val="ListBullet"/>
        <w:spacing w:before="20" w:after="60" w:line="269" w:lineRule="auto"/>
      </w:pPr>
      <w:r>
        <w:rPr>
          <w:rFonts w:ascii="Arial" w:hAnsi="Arial"/>
          <w:b/>
          <w:color w:val="003366"/>
          <w:sz w:val="19"/>
        </w:rPr>
        <w:t xml:space="preserve">Uniform Asset Classes: </w:t>
      </w:r>
      <w:r>
        <w:rPr>
          <w:rFonts w:ascii="Arial" w:hAnsi="Arial"/>
          <w:color w:val="1E293B"/>
          <w:sz w:val="19"/>
        </w:rPr>
        <w:t>Standardized asset classes (Land, Buildings, Plant Machinery, Packaging Lines, AuC) with uniform straight-line depreciation keys.</w:t>
      </w:r>
    </w:p>
    <w:p>
      <w:pPr>
        <w:pStyle w:val="ListBullet"/>
        <w:spacing w:before="20" w:after="60" w:line="269" w:lineRule="auto"/>
      </w:pPr>
      <w:r>
        <w:rPr>
          <w:rFonts w:ascii="Arial" w:hAnsi="Arial"/>
          <w:b/>
          <w:color w:val="003366"/>
          <w:sz w:val="19"/>
        </w:rPr>
        <w:t xml:space="preserve">Capital Work-in-Progress (CWIP): </w:t>
      </w:r>
      <w:r>
        <w:rPr>
          <w:rFonts w:ascii="Arial" w:hAnsi="Arial"/>
          <w:color w:val="1E293B"/>
          <w:sz w:val="19"/>
        </w:rPr>
        <w:t>Plant engineering investments were tracked via Internal Orders and Project Systems (WBS), settling monthly into Assets under Construction (AuC) and capitalizing automatically upon plant commissioning.</w:t>
      </w:r>
    </w:p>
    <w:p>
      <w:pPr>
        <w:keepNext/>
        <w:spacing w:before="240" w:after="60"/>
      </w:pPr>
      <w:r>
        <w:rPr>
          <w:rFonts w:ascii="Arial" w:hAnsi="Arial"/>
          <w:b/>
          <w:color w:val="1E4078"/>
          <w:sz w:val="23"/>
        </w:rPr>
        <w:t>5.5 Bank Accounting &amp; Treasury (FI-BL / TR)</w:t>
      </w:r>
    </w:p>
    <w:p>
      <w:pPr>
        <w:spacing w:before="0" w:after="80" w:line="276" w:lineRule="auto"/>
      </w:pPr>
      <w:r>
        <w:rPr>
          <w:rFonts w:ascii="Arial" w:hAnsi="Arial"/>
          <w:color w:val="1E293B"/>
          <w:sz w:val="19"/>
        </w:rPr>
        <w:t>Treasury operations deployed In-House Cash (IHC) and cross-border cash pooling. Intercompany payments were netted on internal treasury ledgers, eliminating millions in commercial banking wire fees and foreign exchange transaction spreads.</w:t>
      </w:r>
    </w:p>
    <w:p>
      <w:pPr>
        <w:keepNext/>
        <w:spacing w:before="320" w:after="100"/>
      </w:pPr>
      <w:r>
        <w:rPr>
          <w:rFonts w:ascii="Arial" w:hAnsi="Arial"/>
          <w:b/>
          <w:color w:val="003366"/>
          <w:sz w:val="28"/>
        </w:rPr>
        <w:t>6. Deep-Dive: SAP Controlling (CO) Submodules</w:t>
      </w:r>
    </w:p>
    <w:p>
      <w:pPr>
        <w:keepNext/>
        <w:spacing w:before="240" w:after="60"/>
      </w:pPr>
      <w:r>
        <w:rPr>
          <w:rFonts w:ascii="Arial" w:hAnsi="Arial"/>
          <w:b/>
          <w:color w:val="1E4078"/>
          <w:sz w:val="23"/>
        </w:rPr>
        <w:t>6.1 Cost Center Accounting (CO-CCA) &amp; Activity Allocations</w:t>
      </w:r>
    </w:p>
    <w:p>
      <w:pPr>
        <w:spacing w:before="0" w:after="80" w:line="276" w:lineRule="auto"/>
      </w:pPr>
      <w:r>
        <w:rPr>
          <w:rFonts w:ascii="Arial" w:hAnsi="Arial"/>
          <w:color w:val="1E293B"/>
          <w:sz w:val="19"/>
        </w:rPr>
        <w:t>Cost Center Accounting established granular visibility over factory floor operations:</w:t>
      </w:r>
    </w:p>
    <w:p>
      <w:pPr>
        <w:pStyle w:val="ListBullet"/>
        <w:spacing w:before="20" w:after="60" w:line="269" w:lineRule="auto"/>
      </w:pPr>
      <w:r>
        <w:rPr>
          <w:rFonts w:ascii="Arial" w:hAnsi="Arial"/>
          <w:b/>
          <w:color w:val="003366"/>
          <w:sz w:val="19"/>
        </w:rPr>
        <w:t xml:space="preserve">Standard Cost Center Hierarchies: </w:t>
      </w:r>
      <w:r>
        <w:rPr>
          <w:rFonts w:ascii="Arial" w:hAnsi="Arial"/>
          <w:color w:val="1E293B"/>
          <w:sz w:val="19"/>
        </w:rPr>
        <w:t>Replicated across all 350+ factories: Production (Roasting, Mixing, Packaging), Support (Maintenance, Quality), and Administrative centers.</w:t>
      </w:r>
    </w:p>
    <w:p>
      <w:pPr>
        <w:pStyle w:val="ListBullet"/>
        <w:spacing w:before="20" w:after="60" w:line="269" w:lineRule="auto"/>
      </w:pPr>
      <w:r>
        <w:rPr>
          <w:rFonts w:ascii="Arial" w:hAnsi="Arial"/>
          <w:b/>
          <w:color w:val="003366"/>
          <w:sz w:val="19"/>
        </w:rPr>
        <w:t xml:space="preserve">Activity Types &amp; Tariff Rates: </w:t>
      </w:r>
      <w:r>
        <w:rPr>
          <w:rFonts w:ascii="Arial" w:hAnsi="Arial"/>
          <w:color w:val="1E293B"/>
          <w:sz w:val="19"/>
        </w:rPr>
        <w:t>Defined machine hours, labor hours, and energy consumption rates (T-Code KP26), enabling accurate absorption of factory overhead into manufacturing cost.</w:t>
      </w:r>
    </w:p>
    <w:p>
      <w:pPr>
        <w:pStyle w:val="ListBullet"/>
        <w:spacing w:before="20" w:after="60" w:line="269" w:lineRule="auto"/>
      </w:pPr>
      <w:r>
        <w:rPr>
          <w:rFonts w:ascii="Arial" w:hAnsi="Arial"/>
          <w:b/>
          <w:color w:val="003366"/>
          <w:sz w:val="19"/>
        </w:rPr>
        <w:t xml:space="preserve">Periodic Assessment Cycles (KSU5): </w:t>
      </w:r>
      <w:r>
        <w:rPr>
          <w:rFonts w:ascii="Arial" w:hAnsi="Arial"/>
          <w:color w:val="1E293B"/>
          <w:sz w:val="19"/>
        </w:rPr>
        <w:t>Automated monthly allocation of indirect service center costs to manufacturing production centers using statistical key figures.</w:t>
      </w:r>
    </w:p>
    <w:p>
      <w:pPr>
        <w:keepNext/>
        <w:spacing w:before="240" w:after="60"/>
      </w:pPr>
      <w:r>
        <w:rPr>
          <w:rFonts w:ascii="Arial" w:hAnsi="Arial"/>
          <w:b/>
          <w:color w:val="1E4078"/>
          <w:sz w:val="23"/>
        </w:rPr>
        <w:t>6.2 Product Costing (CO-PC) &amp; Material Ledger (CO-PC-ACT)</w:t>
      </w:r>
    </w:p>
    <w:p>
      <w:pPr>
        <w:spacing w:before="0" w:after="80" w:line="276" w:lineRule="auto"/>
      </w:pPr>
      <w:r>
        <w:rPr>
          <w:rFonts w:ascii="Arial" w:hAnsi="Arial"/>
          <w:color w:val="1E293B"/>
          <w:sz w:val="19"/>
        </w:rPr>
        <w:t>Product Costing represented a critical competitive capability for Nestlé due to the extreme price volatility of raw agricultural commodities:</w:t>
      </w:r>
    </w:p>
    <w:p>
      <w:pPr>
        <w:pStyle w:val="ListBullet"/>
        <w:spacing w:before="20" w:after="60" w:line="269" w:lineRule="auto"/>
      </w:pPr>
      <w:r>
        <w:rPr>
          <w:rFonts w:ascii="Arial" w:hAnsi="Arial"/>
          <w:b/>
          <w:color w:val="003366"/>
          <w:sz w:val="19"/>
        </w:rPr>
        <w:t xml:space="preserve">Standard Cost Estimates with Quantity Structure: </w:t>
      </w:r>
      <w:r>
        <w:rPr>
          <w:rFonts w:ascii="Arial" w:hAnsi="Arial"/>
          <w:color w:val="1E293B"/>
          <w:sz w:val="19"/>
        </w:rPr>
        <w:t>Calculated unit standard costs using Bills of Materials (BOMs) and Master Recipes/Routings, breaking down costs into Cost Component Splits (Raw Materials, Packaging, Direct Labor, Machine Overhead).</w:t>
      </w:r>
    </w:p>
    <w:p>
      <w:pPr>
        <w:pStyle w:val="ListBullet"/>
        <w:spacing w:before="20" w:after="60" w:line="269" w:lineRule="auto"/>
      </w:pPr>
      <w:r>
        <w:rPr>
          <w:rFonts w:ascii="Arial" w:hAnsi="Arial"/>
          <w:b/>
          <w:color w:val="003366"/>
          <w:sz w:val="19"/>
        </w:rPr>
        <w:t xml:space="preserve">Material Ledger with Actual Costing: </w:t>
      </w:r>
      <w:r>
        <w:rPr>
          <w:rFonts w:ascii="Arial" w:hAnsi="Arial"/>
          <w:color w:val="1E293B"/>
          <w:sz w:val="19"/>
        </w:rPr>
        <w:t>Deployed SAP Material Ledger with 3-Stage Actual Costing. At month-end, Material Ledger revaluated inventory and Cost of Goods Sold, allocating purchase price variances (PPV) and production variances back into ending inventory. This ensured full compliance with IFRS lower-of-cost-or-market inventory valuation.</w:t>
      </w:r>
    </w:p>
    <w:p>
      <w:pPr>
        <w:keepNext/>
        <w:spacing w:before="240" w:after="60"/>
      </w:pPr>
      <w:r>
        <w:rPr>
          <w:rFonts w:ascii="Arial" w:hAnsi="Arial"/>
          <w:b/>
          <w:color w:val="1E4078"/>
          <w:sz w:val="23"/>
        </w:rPr>
        <w:t>6.3 Profitability Analysis (CO-PA): Multi-Step Margin Accounting</w:t>
      </w:r>
    </w:p>
    <w:p>
      <w:pPr>
        <w:spacing w:before="0" w:after="80" w:line="276" w:lineRule="auto"/>
      </w:pPr>
      <w:r>
        <w:rPr>
          <w:rFonts w:ascii="Arial" w:hAnsi="Arial"/>
          <w:color w:val="1E293B"/>
          <w:sz w:val="19"/>
        </w:rPr>
        <w:t>Profitability Analysis solved Nestlé's historical inability to identify real net margin by product and customer channel:</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94A3B8"/>
              <w:top w:val="single" w:sz="4" w:space="0" w:color="CBD5E1"/>
              <w:right w:val="single" w:sz="4" w:space="0" w:color="CBD5E1"/>
              <w:bottom w:val="single" w:sz="4" w:space="0" w:color="CBD5E1"/>
            </w:tcBorders>
          </w:tcPr>
          <w:p>
            <w:pPr>
              <w:spacing w:before="40" w:after="40" w:line="252" w:lineRule="auto"/>
            </w:pPr>
            <w:r>
              <w:rPr>
                <w:rFonts w:ascii="Consolas" w:hAnsi="Consolas"/>
                <w:color w:val="1E293B"/>
                <w:sz w:val="17"/>
              </w:rPr>
              <w:t>+-------------------------------------------------------------------------+</w:t>
              <w:br/>
              <w:t>|               NESTLÉ MULTI-STEP CO-PA CONTRIBUTION MARGIN               |</w:t>
              <w:br/>
              <w:t>+-------------------------------------------------------------------------+</w:t>
              <w:br/>
              <w:t>|  Gross Billed Revenue                                                   |</w:t>
              <w:br/>
              <w:t>|  [-] Standard Customer Discounts &amp; Off-Invoice Allowances               |</w:t>
              <w:br/>
              <w:t>|  = NET BILLED REVENUE                                                   |</w:t>
              <w:br/>
              <w:t>|  [-] Cost of Goods Sold (Materials + Packaging + Direct Labor + Machine)|</w:t>
              <w:br/>
              <w:t>|  = CONTRIBUTION MARGIN 1 (CM1: Manufacturing Gross Margin)              |</w:t>
              <w:br/>
              <w:t>|  [-] Variable Freight, Warehousing, and Outbound Logistics Costs        |</w:t>
              <w:br/>
              <w:t>|  = CONTRIBUTION MARGIN 2 (CM2: Logistics Margin)                        |</w:t>
              <w:br/>
              <w:t>|  [-] Customer Trade Marketing, Rebates, and Slotting Allowances         |</w:t>
              <w:br/>
              <w:t>|  = CONTRIBUTION MARGIN 3 (CM3: Net Commercial Margin)                   |</w:t>
              <w:br/>
              <w:t>|  [-] Brand Advertising, Marketing Overhead, and Allocated Admin         |</w:t>
              <w:br/>
              <w:t>|  = OPERATING PROFIT (EBIT per SKU / Customer / Channel)                 |</w:t>
              <w:br/>
              <w:t>+-------------------------------------------------------------------------+</w:t>
            </w:r>
          </w:p>
        </w:tc>
      </w:tr>
    </w:tbl>
    <w:p>
      <w:pPr>
        <w:spacing w:after="80"/>
      </w:pPr>
    </w:p>
    <w:p>
      <w:pPr>
        <w:spacing w:before="0" w:after="80" w:line="276" w:lineRule="auto"/>
      </w:pPr>
      <w:r>
        <w:rPr>
          <w:rFonts w:ascii="Arial" w:hAnsi="Arial"/>
          <w:color w:val="1E293B"/>
          <w:sz w:val="19"/>
        </w:rPr>
        <w:t>By analyzing margins down to CM3 and Operating Profit across dimensions (Customer Key Account, Product Brand, Distribution Channel, Sales Org), leadership could immediately isolate which SKUs or customer agreements were diluting profitability once logistics, freight, and promotional allowances were factored in.</w:t>
      </w:r>
    </w:p>
    <w:p>
      <w:pPr>
        <w:keepNext/>
        <w:spacing w:before="320" w:after="100"/>
      </w:pPr>
      <w:r>
        <w:rPr>
          <w:rFonts w:ascii="Arial" w:hAnsi="Arial"/>
          <w:b/>
          <w:color w:val="003366"/>
          <w:sz w:val="28"/>
        </w:rPr>
        <w:t>7. Cross-Functional Module Integration Architecture</w:t>
      </w:r>
    </w:p>
    <w:p>
      <w:pPr>
        <w:spacing w:before="0" w:after="80" w:line="276" w:lineRule="auto"/>
      </w:pPr>
      <w:r>
        <w:rPr>
          <w:rFonts w:ascii="Arial" w:hAnsi="Arial"/>
          <w:color w:val="1E293B"/>
          <w:sz w:val="19"/>
        </w:rPr>
        <w:t>The power of SAP FICO at Nestlé stemmed from its real-time, automated integration with operational modules: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2592"/>
            <w:shd w:fill="003366"/>
            <w:tcMar>
              <w:top w:w="100" w:type="dxa"/>
              <w:bottom w:w="100" w:type="dxa"/>
              <w:left w:w="120" w:type="dxa"/>
              <w:right w:w="120" w:type="dxa"/>
            </w:tcMar>
          </w:tcPr>
          <w:p>
            <w:pPr>
              <w:spacing w:before="0" w:after="0" w:line="252" w:lineRule="auto"/>
            </w:pPr>
            <w:r>
              <w:rPr>
                <w:rFonts w:ascii="Arial" w:hAnsi="Arial"/>
                <w:b/>
                <w:color w:val="FFFFFF"/>
                <w:sz w:val="18"/>
              </w:rPr>
              <w:t>Integration Interface</w:t>
            </w:r>
          </w:p>
        </w:tc>
        <w:tc>
          <w:tcPr>
            <w:tcW w:type="dxa" w:w="3168"/>
            <w:shd w:fill="003366"/>
            <w:tcMar>
              <w:top w:w="100" w:type="dxa"/>
              <w:bottom w:w="100" w:type="dxa"/>
              <w:left w:w="120" w:type="dxa"/>
              <w:right w:w="120" w:type="dxa"/>
            </w:tcMar>
          </w:tcPr>
          <w:p>
            <w:pPr>
              <w:spacing w:before="0" w:after="0" w:line="252" w:lineRule="auto"/>
            </w:pPr>
            <w:r>
              <w:rPr>
                <w:rFonts w:ascii="Arial" w:hAnsi="Arial"/>
                <w:b/>
                <w:color w:val="FFFFFF"/>
                <w:sz w:val="18"/>
              </w:rPr>
              <w:t>Technical Mechanism</w:t>
            </w:r>
          </w:p>
        </w:tc>
        <w:tc>
          <w:tcPr>
            <w:tcW w:type="dxa" w:w="3600"/>
            <w:shd w:fill="003366"/>
            <w:tcMar>
              <w:top w:w="100" w:type="dxa"/>
              <w:bottom w:w="100" w:type="dxa"/>
              <w:left w:w="120" w:type="dxa"/>
              <w:right w:w="120" w:type="dxa"/>
            </w:tcMar>
          </w:tcPr>
          <w:p>
            <w:pPr>
              <w:spacing w:before="0" w:after="0" w:line="252" w:lineRule="auto"/>
            </w:pPr>
            <w:r>
              <w:rPr>
                <w:rFonts w:ascii="Arial" w:hAnsi="Arial"/>
                <w:b/>
                <w:color w:val="FFFFFF"/>
                <w:sz w:val="18"/>
              </w:rPr>
              <w:t>Financial &amp; Operational Impact</w:t>
            </w:r>
          </w:p>
        </w:tc>
      </w:tr>
      <w:tr>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MM-FI Integration</w:t>
              <w:br/>
              <w:t>(Procure-to-Pay)</w:t>
            </w:r>
          </w:p>
        </w:tc>
        <w:tc>
          <w:tcPr>
            <w:tcW w:type="dxa" w:w="3168"/>
            <w:shd w:fill="FFFFFF"/>
            <w:tcMar>
              <w:top w:w="70" w:type="dxa"/>
              <w:bottom w:w="70" w:type="dxa"/>
              <w:left w:w="120" w:type="dxa"/>
              <w:right w:w="120" w:type="dxa"/>
            </w:tcMar>
          </w:tcPr>
          <w:p>
            <w:pPr>
              <w:spacing w:before="0" w:after="0" w:line="264" w:lineRule="auto"/>
            </w:pPr>
            <w:r>
              <w:rPr>
                <w:rFonts w:ascii="Arial" w:hAnsi="Arial"/>
                <w:color w:val="1E293B"/>
                <w:sz w:val="17"/>
              </w:rPr>
              <w:t>Automatic Account Determination (OBYC)</w:t>
              <w:br/>
              <w:t>Keys: BSX, WRX, PRD, GBB</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Real-time inventory valuation upon goods receipt (MIGO); automated GR/IR clearing and price variance capture during invoice verification (MIRO).</w:t>
            </w:r>
          </w:p>
        </w:tc>
      </w:tr>
      <w:tr>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SD-FI Integration</w:t>
              <w:br/>
              <w:t>(Order-to-Cash)</w:t>
            </w:r>
          </w:p>
        </w:tc>
        <w:tc>
          <w:tcPr>
            <w:tcW w:type="dxa" w:w="3168"/>
            <w:shd w:fill="F8FAFC"/>
            <w:tcMar>
              <w:top w:w="70" w:type="dxa"/>
              <w:bottom w:w="70" w:type="dxa"/>
              <w:left w:w="120" w:type="dxa"/>
              <w:right w:w="120" w:type="dxa"/>
            </w:tcMar>
          </w:tcPr>
          <w:p>
            <w:pPr>
              <w:spacing w:before="0" w:after="0" w:line="264" w:lineRule="auto"/>
            </w:pPr>
            <w:r>
              <w:rPr>
                <w:rFonts w:ascii="Arial" w:hAnsi="Arial"/>
                <w:color w:val="1E293B"/>
                <w:sz w:val="17"/>
              </w:rPr>
              <w:t>Revenue Account Determination (VKOA)</w:t>
              <w:br/>
              <w:t>Condition Types: PR00, K004, MWST</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Instant posting of sales revenue, receivables, trade discounts, and tax upon billing (VF01); simultaneous transfer of margin data into CO-PA.</w:t>
            </w:r>
          </w:p>
        </w:tc>
      </w:tr>
      <w:tr>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PP-CO Integration</w:t>
              <w:br/>
              <w:t>(Plan-to-Produce)</w:t>
            </w:r>
          </w:p>
        </w:tc>
        <w:tc>
          <w:tcPr>
            <w:tcW w:type="dxa" w:w="3168"/>
            <w:shd w:fill="FFFFFF"/>
            <w:tcMar>
              <w:top w:w="70" w:type="dxa"/>
              <w:bottom w:w="70" w:type="dxa"/>
              <w:left w:w="120" w:type="dxa"/>
              <w:right w:w="120" w:type="dxa"/>
            </w:tcMar>
          </w:tcPr>
          <w:p>
            <w:pPr>
              <w:spacing w:before="0" w:after="0" w:line="264" w:lineRule="auto"/>
            </w:pPr>
            <w:r>
              <w:rPr>
                <w:rFonts w:ascii="Arial" w:hAnsi="Arial"/>
                <w:color w:val="1E293B"/>
                <w:sz w:val="17"/>
              </w:rPr>
              <w:t>Order Costing &amp; Settlement</w:t>
              <w:br/>
              <w:t>T-Codes: KP26, CO11N, KKAO, CO88</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Real-time secondary cost allocation for labor/machine activity; automated calculation of Work in Progress (WIP) and production scrap/variances.</w:t>
            </w:r>
          </w:p>
        </w:tc>
      </w:tr>
      <w:tr>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FI-CO Real-Time Integration</w:t>
            </w:r>
          </w:p>
        </w:tc>
        <w:tc>
          <w:tcPr>
            <w:tcW w:type="dxa" w:w="3168"/>
            <w:shd w:fill="F8FAFC"/>
            <w:tcMar>
              <w:top w:w="70" w:type="dxa"/>
              <w:bottom w:w="70" w:type="dxa"/>
              <w:left w:w="120" w:type="dxa"/>
              <w:right w:w="120" w:type="dxa"/>
            </w:tcMar>
          </w:tcPr>
          <w:p>
            <w:pPr>
              <w:spacing w:before="0" w:after="0" w:line="264" w:lineRule="auto"/>
            </w:pPr>
            <w:r>
              <w:rPr>
                <w:rFonts w:ascii="Arial" w:hAnsi="Arial"/>
                <w:color w:val="1E293B"/>
                <w:sz w:val="17"/>
              </w:rPr>
              <w:t>Real-Time Ledger Integration / New GL</w:t>
              <w:br/>
              <w:t>Cost Element Categories 01, 11, 21</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Eliminated batch reconciliation runs; primary expense postings automatically update Cost Centers, while revenue postings update Profit Centers and CO-PA.</w:t>
            </w:r>
          </w:p>
        </w:tc>
      </w:tr>
      <w:tr>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Treasury-FI Integration</w:t>
            </w:r>
          </w:p>
        </w:tc>
        <w:tc>
          <w:tcPr>
            <w:tcW w:type="dxa" w:w="3168"/>
            <w:shd w:fill="FFFFFF"/>
            <w:tcMar>
              <w:top w:w="70" w:type="dxa"/>
              <w:bottom w:w="70" w:type="dxa"/>
              <w:left w:w="120" w:type="dxa"/>
              <w:right w:w="120" w:type="dxa"/>
            </w:tcMar>
          </w:tcPr>
          <w:p>
            <w:pPr>
              <w:spacing w:before="0" w:after="0" w:line="264" w:lineRule="auto"/>
            </w:pPr>
            <w:r>
              <w:rPr>
                <w:rFonts w:ascii="Arial" w:hAnsi="Arial"/>
                <w:color w:val="1E293B"/>
                <w:sz w:val="17"/>
              </w:rPr>
              <w:t>In-House Cash (IHC) &amp; Electronic Bank</w:t>
              <w:br/>
              <w:t>SWIFTNet, ISO 20022, MT940 / CAMT.053</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Automated cash pooling and intercompany debt netting, slashing cross-border bank transfer fees and foreign exchange hedging spreads.</w:t>
            </w:r>
          </w:p>
        </w:tc>
      </w:tr>
    </w:tbl>
    <w:p>
      <w:pPr>
        <w:spacing w:after="80"/>
      </w:pPr>
    </w:p>
    <w:p>
      <w:pPr>
        <w:keepNext/>
        <w:spacing w:before="320" w:after="100"/>
      </w:pPr>
      <w:r>
        <w:rPr>
          <w:rFonts w:ascii="Arial" w:hAnsi="Arial"/>
          <w:b/>
          <w:color w:val="003366"/>
          <w:sz w:val="28"/>
        </w:rPr>
        <w:t>8. Change Management, The Implementation Crisis &amp; The Strategic Pivot</w:t>
      </w:r>
    </w:p>
    <w:p>
      <w:pPr>
        <w:keepNext/>
        <w:spacing w:before="240" w:after="60"/>
      </w:pPr>
      <w:r>
        <w:rPr>
          <w:rFonts w:ascii="Arial" w:hAnsi="Arial"/>
          <w:b/>
          <w:color w:val="1E4078"/>
          <w:sz w:val="23"/>
        </w:rPr>
        <w:t>8.1 The 2000–2002 Implementation Crisis</w:t>
      </w:r>
    </w:p>
    <w:p>
      <w:pPr>
        <w:spacing w:before="0" w:after="80" w:line="276" w:lineRule="auto"/>
      </w:pPr>
      <w:r>
        <w:rPr>
          <w:rFonts w:ascii="Arial" w:hAnsi="Arial"/>
          <w:color w:val="1E293B"/>
          <w:sz w:val="19"/>
        </w:rPr>
        <w:t>Project GLOBE is as renowned for its early near-disaster as it is for its ultimate success. In early pilot deployments (notably Nestlé USA between 2000 and 2002):</w:t>
      </w:r>
    </w:p>
    <w:p>
      <w:pPr>
        <w:pStyle w:val="ListBullet"/>
        <w:spacing w:before="20" w:after="60" w:line="269" w:lineRule="auto"/>
      </w:pPr>
      <w:r>
        <w:rPr>
          <w:rFonts w:ascii="Arial" w:hAnsi="Arial"/>
          <w:b/>
          <w:color w:val="003366"/>
          <w:sz w:val="19"/>
        </w:rPr>
        <w:t xml:space="preserve">The 'IT Project' Illusion: </w:t>
      </w:r>
      <w:r>
        <w:rPr>
          <w:rFonts w:ascii="Arial" w:hAnsi="Arial"/>
          <w:color w:val="1E293B"/>
          <w:sz w:val="19"/>
        </w:rPr>
        <w:t>Corporate leadership initially treated GLOBE as an IT software upgrade rather than a fundamental organizational re-engineering.</w:t>
      </w:r>
    </w:p>
    <w:p>
      <w:pPr>
        <w:pStyle w:val="ListBullet"/>
        <w:spacing w:before="20" w:after="60" w:line="269" w:lineRule="auto"/>
      </w:pPr>
      <w:r>
        <w:rPr>
          <w:rFonts w:ascii="Arial" w:hAnsi="Arial"/>
          <w:b/>
          <w:color w:val="003366"/>
          <w:sz w:val="19"/>
        </w:rPr>
        <w:t xml:space="preserve">Subsidiary Pushback: </w:t>
      </w:r>
      <w:r>
        <w:rPr>
          <w:rFonts w:ascii="Arial" w:hAnsi="Arial"/>
          <w:color w:val="1E293B"/>
          <w:sz w:val="19"/>
        </w:rPr>
        <w:t>Country managers and local staff resisted standardized global processes. Users developed shadow spreadsheets, refused to enter master data properly, and circumvented system controls.</w:t>
      </w:r>
    </w:p>
    <w:p>
      <w:pPr>
        <w:pStyle w:val="ListBullet"/>
        <w:spacing w:before="20" w:after="60" w:line="269" w:lineRule="auto"/>
      </w:pPr>
      <w:r>
        <w:rPr>
          <w:rFonts w:ascii="Arial" w:hAnsi="Arial"/>
          <w:b/>
          <w:color w:val="003366"/>
          <w:sz w:val="19"/>
        </w:rPr>
        <w:t xml:space="preserve">Operational Friction: </w:t>
      </w:r>
      <w:r>
        <w:rPr>
          <w:rFonts w:ascii="Arial" w:hAnsi="Arial"/>
          <w:color w:val="1E293B"/>
          <w:sz w:val="19"/>
        </w:rPr>
        <w:t>Employee turnover spiked, supply chain forecasting degraded temporarily, and product stockouts threatened key customer relationships.</w:t>
      </w:r>
    </w:p>
    <w:p>
      <w:pPr>
        <w:keepNext/>
        <w:spacing w:before="240" w:after="60"/>
      </w:pPr>
      <w:r>
        <w:rPr>
          <w:rFonts w:ascii="Arial" w:hAnsi="Arial"/>
          <w:b/>
          <w:color w:val="1E4078"/>
          <w:sz w:val="23"/>
        </w:rPr>
        <w:t>8.2 The Leadership Pivot: Business-Led Transformation</w:t>
      </w:r>
    </w:p>
    <w:p>
      <w:pPr>
        <w:spacing w:before="0" w:after="80" w:line="276" w:lineRule="auto"/>
      </w:pPr>
      <w:r>
        <w:rPr>
          <w:rFonts w:ascii="Arial" w:hAnsi="Arial"/>
          <w:color w:val="1E293B"/>
          <w:sz w:val="19"/>
        </w:rPr>
        <w:t>CEO Peter Brabeck-Letmathe and the executive board intervened decisively with a three-pronged correction:</w:t>
      </w:r>
    </w:p>
    <w:p>
      <w:pPr>
        <w:pStyle w:val="ListBullet"/>
        <w:spacing w:before="20" w:after="60" w:line="269" w:lineRule="auto"/>
      </w:pPr>
      <w:r>
        <w:rPr>
          <w:rFonts w:ascii="Arial" w:hAnsi="Arial"/>
          <w:b/>
          <w:color w:val="003366"/>
          <w:sz w:val="19"/>
        </w:rPr>
        <w:t xml:space="preserve">Halting Arbitrary Deadlines: </w:t>
      </w:r>
      <w:r>
        <w:rPr>
          <w:rFonts w:ascii="Arial" w:hAnsi="Arial"/>
          <w:color w:val="1E293B"/>
          <w:sz w:val="19"/>
        </w:rPr>
        <w:t>Go-live dates were paused until business units proved operational readiness through rigorous certification gates.</w:t>
      </w:r>
    </w:p>
    <w:p>
      <w:pPr>
        <w:pStyle w:val="ListBullet"/>
        <w:spacing w:before="20" w:after="60" w:line="269" w:lineRule="auto"/>
      </w:pPr>
      <w:r>
        <w:rPr>
          <w:rFonts w:ascii="Arial" w:hAnsi="Arial"/>
          <w:b/>
          <w:color w:val="003366"/>
          <w:sz w:val="19"/>
        </w:rPr>
        <w:t xml:space="preserve">Business-Led Ownership: </w:t>
      </w:r>
      <w:r>
        <w:rPr>
          <w:rFonts w:ascii="Arial" w:hAnsi="Arial"/>
          <w:color w:val="1E293B"/>
          <w:sz w:val="19"/>
        </w:rPr>
        <w:t>Executive accountability shifted from IT managers to line-of-business operating leaders. Plant managers and financial controllers were made personally responsible for template adoption.</w:t>
      </w:r>
    </w:p>
    <w:p>
      <w:pPr>
        <w:pStyle w:val="ListBullet"/>
        <w:spacing w:before="20" w:after="60" w:line="269" w:lineRule="auto"/>
      </w:pPr>
      <w:r>
        <w:rPr>
          <w:rFonts w:ascii="Arial" w:hAnsi="Arial"/>
          <w:b/>
          <w:color w:val="003366"/>
          <w:sz w:val="19"/>
        </w:rPr>
        <w:t xml:space="preserve">Super-User Networks &amp; Training: </w:t>
      </w:r>
      <w:r>
        <w:rPr>
          <w:rFonts w:ascii="Arial" w:hAnsi="Arial"/>
          <w:color w:val="1E293B"/>
          <w:sz w:val="19"/>
        </w:rPr>
        <w:t>Trained thousands of peer 'super-users' across finance, procurement, and manufacturing to deliver hands-on coaching on factory floors.</w:t>
      </w:r>
    </w:p>
    <w:p>
      <w:pPr>
        <w:pStyle w:val="ListBullet"/>
        <w:spacing w:before="20" w:after="60" w:line="269" w:lineRule="auto"/>
      </w:pPr>
      <w:r>
        <w:rPr>
          <w:rFonts w:ascii="Arial" w:hAnsi="Arial"/>
          <w:b/>
          <w:color w:val="003366"/>
          <w:sz w:val="19"/>
        </w:rPr>
        <w:t xml:space="preserve">Establishment of Nestlé Business Services (NBS): </w:t>
      </w:r>
      <w:r>
        <w:rPr>
          <w:rFonts w:ascii="Arial" w:hAnsi="Arial"/>
          <w:color w:val="1E293B"/>
          <w:sz w:val="19"/>
        </w:rPr>
        <w:t>Consolidated transactional accounting (AP, AR, payroll, bank reconciliations) into shared service hubs in Manila, Ribeirão Preto, Cairo, and Lviv, professionalizing transaction processing.</w:t>
      </w:r>
    </w:p>
    <w:p>
      <w:pPr>
        <w:keepNext/>
        <w:spacing w:before="320" w:after="100"/>
      </w:pPr>
      <w:r>
        <w:rPr>
          <w:rFonts w:ascii="Arial" w:hAnsi="Arial"/>
          <w:b/>
          <w:color w:val="003366"/>
          <w:sz w:val="28"/>
        </w:rPr>
        <w:t>9. Quantified Business Benefits &amp; Value Realization</w:t>
      </w:r>
    </w:p>
    <w:p>
      <w:pPr>
        <w:spacing w:before="0" w:after="80" w:line="276" w:lineRule="auto"/>
      </w:pPr>
      <w:r>
        <w:rPr>
          <w:rFonts w:ascii="Arial" w:hAnsi="Arial"/>
          <w:color w:val="1E293B"/>
          <w:sz w:val="19"/>
        </w:rPr>
        <w:t>The completion of Project GLOBE delivered unprecedented financial, operational, and strategic benefits, permanently reshaping Nestlé's cost structure and market responsiveness: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312"/>
            <w:shd w:fill="003366"/>
            <w:tcMar>
              <w:top w:w="100" w:type="dxa"/>
              <w:bottom w:w="100" w:type="dxa"/>
              <w:left w:w="120" w:type="dxa"/>
              <w:right w:w="120" w:type="dxa"/>
            </w:tcMar>
          </w:tcPr>
          <w:p>
            <w:pPr>
              <w:spacing w:before="0" w:after="0" w:line="252" w:lineRule="auto"/>
            </w:pPr>
            <w:r>
              <w:rPr>
                <w:rFonts w:ascii="Arial" w:hAnsi="Arial"/>
                <w:b/>
                <w:color w:val="FFFFFF"/>
                <w:sz w:val="18"/>
              </w:rPr>
              <w:t>Key Performance Indicator (KPI)</w:t>
            </w:r>
          </w:p>
        </w:tc>
        <w:tc>
          <w:tcPr>
            <w:tcW w:type="dxa" w:w="3024"/>
            <w:shd w:fill="003366"/>
            <w:tcMar>
              <w:top w:w="100" w:type="dxa"/>
              <w:bottom w:w="100" w:type="dxa"/>
              <w:left w:w="120" w:type="dxa"/>
              <w:right w:w="120" w:type="dxa"/>
            </w:tcMar>
          </w:tcPr>
          <w:p>
            <w:pPr>
              <w:spacing w:before="0" w:after="0" w:line="252" w:lineRule="auto"/>
            </w:pPr>
            <w:r>
              <w:rPr>
                <w:rFonts w:ascii="Arial" w:hAnsi="Arial"/>
                <w:b/>
                <w:color w:val="FFFFFF"/>
                <w:sz w:val="18"/>
              </w:rPr>
              <w:t>Pre-SAP Implementation Baseline</w:t>
            </w:r>
          </w:p>
        </w:tc>
        <w:tc>
          <w:tcPr>
            <w:tcW w:type="dxa" w:w="3024"/>
            <w:shd w:fill="003366"/>
            <w:tcMar>
              <w:top w:w="100" w:type="dxa"/>
              <w:bottom w:w="100" w:type="dxa"/>
              <w:left w:w="120" w:type="dxa"/>
              <w:right w:w="120" w:type="dxa"/>
            </w:tcMar>
          </w:tcPr>
          <w:p>
            <w:pPr>
              <w:spacing w:before="0" w:after="0" w:line="252" w:lineRule="auto"/>
            </w:pPr>
            <w:r>
              <w:rPr>
                <w:rFonts w:ascii="Arial" w:hAnsi="Arial"/>
                <w:b/>
                <w:color w:val="FFFFFF"/>
                <w:sz w:val="18"/>
              </w:rPr>
              <w:t>Post-SAP GLOBE Realization</w:t>
            </w:r>
          </w:p>
        </w:tc>
      </w:tr>
      <w:tr>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Annual Operational Cost Savings</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CHF 0 (Fragmented baseline)</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CHF 3.0+ Billion recurring annual savings</w:t>
            </w:r>
          </w:p>
        </w:tc>
      </w:tr>
      <w:tr>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Month-End Closing Cycle</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18 – 25 Business Days</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3 – 4 Business Days (Continuous Close)</w:t>
            </w:r>
          </w:p>
        </w:tc>
      </w:tr>
      <w:tr>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Raw Material Procurement Savings</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Fragmented local pricing</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Over $300 Million saved in Year 1 alone</w:t>
            </w:r>
          </w:p>
        </w:tc>
      </w:tr>
      <w:tr>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Intercompany Transaction Clearance</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Months of disputed balances</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&gt; 85% Automated Instant Clearance</w:t>
            </w:r>
          </w:p>
        </w:tc>
      </w:tr>
      <w:tr>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Days of Inventory on Hand (DOH)</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65 – 70 Days</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52 – 55 Days (18% Reduction in Working Capital)</w:t>
            </w:r>
          </w:p>
        </w:tc>
      </w:tr>
      <w:tr>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Automated Cash Application Rate</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&lt; 35% Manual processing</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&gt; 90% Automated EBS Matching</w:t>
            </w:r>
          </w:p>
        </w:tc>
      </w:tr>
      <w:tr>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Data Center Consolidation</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100+ Decentralized Sites</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4 Regional High-Performance Hubs</w:t>
            </w:r>
          </w:p>
        </w:tc>
      </w:tr>
      <w:tr>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Brand &amp; SKU Margin Visibility</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Crude estimates / Latent</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Real-Time Multi-Step Contribution Margin (CO-PA)</w:t>
            </w:r>
          </w:p>
        </w:tc>
      </w:tr>
      <w:tr>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M&amp;A Integration Speed</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12 – 18 Months per acquisition</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&lt; 90 Days Standardized Template Cutover</w:t>
            </w:r>
          </w:p>
        </w:tc>
      </w:tr>
    </w:tbl>
    <w:p>
      <w:pPr>
        <w:spacing w:after="80"/>
      </w:pPr>
    </w:p>
    <w:p>
      <w:pPr>
        <w:spacing w:before="0" w:after="80" w:line="276" w:lineRule="auto"/>
      </w:pPr>
      <w:r>
        <w:rPr>
          <w:rFonts w:ascii="Arial" w:hAnsi="Arial"/>
          <w:color w:val="1E293B"/>
          <w:sz w:val="19"/>
        </w:rPr>
        <w:t>These quantified metrics demonstrate that the SAP FICO implementation paid for itself within two years of full stabilization, providing ongoing operational leverage for decades.</w:t>
      </w:r>
    </w:p>
    <w:p>
      <w:pPr>
        <w:keepNext/>
        <w:spacing w:before="320" w:after="100"/>
      </w:pPr>
      <w:r>
        <w:rPr>
          <w:rFonts w:ascii="Arial" w:hAnsi="Arial"/>
          <w:b/>
          <w:color w:val="003366"/>
          <w:sz w:val="28"/>
        </w:rPr>
        <w:t>10. Comparative Enterprise Analysis: Nestlé vs. Industry Peers</w:t>
      </w:r>
    </w:p>
    <w:p>
      <w:pPr>
        <w:spacing w:before="0" w:after="80" w:line="276" w:lineRule="auto"/>
      </w:pPr>
      <w:r>
        <w:rPr>
          <w:rFonts w:ascii="Arial" w:hAnsi="Arial"/>
          <w:color w:val="1E293B"/>
          <w:sz w:val="19"/>
        </w:rPr>
        <w:t>Benchmarking Nestlé's implementation against other enterprise SAP deployments underscores its distinct architectural choices: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160"/>
            <w:shd w:fill="003366"/>
            <w:tcMar>
              <w:top w:w="100" w:type="dxa"/>
              <w:bottom w:w="100" w:type="dxa"/>
              <w:left w:w="120" w:type="dxa"/>
              <w:right w:w="120" w:type="dxa"/>
            </w:tcMar>
          </w:tcPr>
          <w:p>
            <w:pPr>
              <w:spacing w:before="0" w:after="0" w:line="252" w:lineRule="auto"/>
            </w:pPr>
            <w:r>
              <w:rPr>
                <w:rFonts w:ascii="Arial" w:hAnsi="Arial"/>
                <w:b/>
                <w:color w:val="FFFFFF"/>
                <w:sz w:val="18"/>
              </w:rPr>
              <w:t>Dimension</w:t>
            </w:r>
          </w:p>
        </w:tc>
        <w:tc>
          <w:tcPr>
            <w:tcW w:type="dxa" w:w="2592"/>
            <w:shd w:fill="003366"/>
            <w:tcMar>
              <w:top w:w="100" w:type="dxa"/>
              <w:bottom w:w="100" w:type="dxa"/>
              <w:left w:w="120" w:type="dxa"/>
              <w:right w:w="120" w:type="dxa"/>
            </w:tcMar>
          </w:tcPr>
          <w:p>
            <w:pPr>
              <w:spacing w:before="0" w:after="0" w:line="252" w:lineRule="auto"/>
            </w:pPr>
            <w:r>
              <w:rPr>
                <w:rFonts w:ascii="Arial" w:hAnsi="Arial"/>
                <w:b/>
                <w:color w:val="FFFFFF"/>
                <w:sz w:val="18"/>
              </w:rPr>
              <w:t>Nestlé S.A. (GLOBE)</w:t>
            </w:r>
          </w:p>
        </w:tc>
        <w:tc>
          <w:tcPr>
            <w:tcW w:type="dxa" w:w="2304"/>
            <w:shd w:fill="003366"/>
            <w:tcMar>
              <w:top w:w="100" w:type="dxa"/>
              <w:bottom w:w="100" w:type="dxa"/>
              <w:left w:w="120" w:type="dxa"/>
              <w:right w:w="120" w:type="dxa"/>
            </w:tcMar>
          </w:tcPr>
          <w:p>
            <w:pPr>
              <w:spacing w:before="0" w:after="0" w:line="252" w:lineRule="auto"/>
            </w:pPr>
            <w:r>
              <w:rPr>
                <w:rFonts w:ascii="Arial" w:hAnsi="Arial"/>
                <w:b/>
                <w:color w:val="FFFFFF"/>
                <w:sz w:val="18"/>
              </w:rPr>
              <w:t>Siemens AG (OneSRM)</w:t>
            </w:r>
          </w:p>
        </w:tc>
        <w:tc>
          <w:tcPr>
            <w:tcW w:type="dxa" w:w="2304"/>
            <w:shd w:fill="003366"/>
            <w:tcMar>
              <w:top w:w="100" w:type="dxa"/>
              <w:bottom w:w="100" w:type="dxa"/>
              <w:left w:w="120" w:type="dxa"/>
              <w:right w:w="120" w:type="dxa"/>
            </w:tcMar>
          </w:tcPr>
          <w:p>
            <w:pPr>
              <w:spacing w:before="0" w:after="0" w:line="252" w:lineRule="auto"/>
            </w:pPr>
            <w:r>
              <w:rPr>
                <w:rFonts w:ascii="Arial" w:hAnsi="Arial"/>
                <w:b/>
                <w:color w:val="FFFFFF"/>
                <w:sz w:val="18"/>
              </w:rPr>
              <w:t>Unilever (One Unilever)</w:t>
            </w:r>
          </w:p>
        </w:tc>
      </w:tr>
      <w:tr>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Industry Sector</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FMCG / Food &amp; Beverage</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Industrial Engineering / Conglomerate</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FMCG / Consumer &amp; Personal Care</w:t>
            </w:r>
          </w:p>
        </w:tc>
      </w:tr>
      <w:tr>
        <w:tc>
          <w:tcPr>
            <w:tcW w:type="dxa" w:w="2160"/>
            <w:shd w:fill="F8FAFC"/>
            <w:tcMar>
              <w:top w:w="70" w:type="dxa"/>
              <w:bottom w:w="70" w:type="dxa"/>
              <w:left w:w="120" w:type="dxa"/>
              <w:right w:w="120" w:type="dxa"/>
            </w:tcMar>
          </w:tcPr>
          <w:p>
            <w:pPr>
              <w:spacing w:before="0" w:after="0" w:line="264" w:lineRule="auto"/>
            </w:pPr>
            <w:r>
              <w:rPr>
                <w:rFonts w:ascii="Arial" w:hAnsi="Arial"/>
                <w:color w:val="1E293B"/>
                <w:sz w:val="17"/>
              </w:rPr>
              <w:t>Primary Catalyst</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The Vanilla Paradox; 80+ legacy systems</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Complex engineer-to-order project costing</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Duplicate national European structures</w:t>
            </w:r>
          </w:p>
        </w:tc>
      </w:tr>
      <w:tr>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Core FICO Innovation</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Material Ledger Actual Costing &amp; CO-PA</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Parallel Ledgers &amp; Project Systems (PS)</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Unified European Chart of Accounts</w:t>
            </w:r>
          </w:p>
        </w:tc>
      </w:tr>
      <w:tr>
        <w:tc>
          <w:tcPr>
            <w:tcW w:type="dxa" w:w="2160"/>
            <w:shd w:fill="F8FAFC"/>
            <w:tcMar>
              <w:top w:w="70" w:type="dxa"/>
              <w:bottom w:w="70" w:type="dxa"/>
              <w:left w:w="120" w:type="dxa"/>
              <w:right w:w="120" w:type="dxa"/>
            </w:tcMar>
          </w:tcPr>
          <w:p>
            <w:pPr>
              <w:spacing w:before="0" w:after="0" w:line="264" w:lineRule="auto"/>
            </w:pPr>
            <w:r>
              <w:rPr>
                <w:rFonts w:ascii="Arial" w:hAnsi="Arial"/>
                <w:color w:val="1E293B"/>
                <w:sz w:val="17"/>
              </w:rPr>
              <w:t>Annual Audited Savings</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CHF 3.0+ Billion recurring</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€1.5+ Billion recurring</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€1.2+ Billion recurring</w:t>
            </w:r>
          </w:p>
        </w:tc>
      </w:tr>
    </w:tbl>
    <w:p>
      <w:pPr>
        <w:spacing w:after="80"/>
      </w:pPr>
    </w:p>
    <w:p>
      <w:pPr>
        <w:keepNext/>
        <w:spacing w:before="320" w:after="100"/>
      </w:pPr>
      <w:r>
        <w:rPr>
          <w:rFonts w:ascii="Arial" w:hAnsi="Arial"/>
          <w:b/>
          <w:color w:val="003366"/>
          <w:sz w:val="28"/>
        </w:rPr>
        <w:t>11. The Next Horizon: Modernization to SAP S/4HANA &amp; Central Finance</w:t>
      </w:r>
    </w:p>
    <w:p>
      <w:pPr>
        <w:spacing w:before="0" w:after="80" w:line="276" w:lineRule="auto"/>
      </w:pPr>
      <w:r>
        <w:rPr>
          <w:rFonts w:ascii="Arial" w:hAnsi="Arial"/>
          <w:color w:val="1E293B"/>
          <w:sz w:val="19"/>
        </w:rPr>
        <w:t>Building upon the GLOBE template, Nestlé has partnered with SAP on RISE with SAP to transition towards SAP S/4HANA Enterprise Cloud:</w:t>
      </w:r>
    </w:p>
    <w:p>
      <w:pPr>
        <w:pStyle w:val="ListBullet"/>
        <w:spacing w:before="20" w:after="60" w:line="269" w:lineRule="auto"/>
      </w:pPr>
      <w:r>
        <w:rPr>
          <w:rFonts w:ascii="Arial" w:hAnsi="Arial"/>
          <w:b/>
          <w:color w:val="003366"/>
          <w:sz w:val="19"/>
        </w:rPr>
        <w:t xml:space="preserve">The Universal Journal (ACDOCA): </w:t>
      </w:r>
      <w:r>
        <w:rPr>
          <w:rFonts w:ascii="Arial" w:hAnsi="Arial"/>
          <w:color w:val="1E293B"/>
          <w:sz w:val="19"/>
        </w:rPr>
        <w:t>Consolidates FI, CO, Asset Accounting, and Material Ledger into a single database table. Eliminates traditional reconciliation runs and enables real-time reporting across all financial dimensions.</w:t>
      </w:r>
    </w:p>
    <w:p>
      <w:pPr>
        <w:pStyle w:val="ListBullet"/>
        <w:spacing w:before="20" w:after="60" w:line="269" w:lineRule="auto"/>
      </w:pPr>
      <w:r>
        <w:rPr>
          <w:rFonts w:ascii="Arial" w:hAnsi="Arial"/>
          <w:b/>
          <w:color w:val="003366"/>
          <w:sz w:val="19"/>
        </w:rPr>
        <w:t xml:space="preserve">Central Finance (cFIN): </w:t>
      </w:r>
      <w:r>
        <w:rPr>
          <w:rFonts w:ascii="Arial" w:hAnsi="Arial"/>
          <w:color w:val="1E293B"/>
          <w:sz w:val="19"/>
        </w:rPr>
        <w:t>Serves as an agile reporting hub, replicating financial postings in real time from regional ERP systems via SAP Landscape Transformation (SLT) into a central S/4HANA instance.</w:t>
      </w:r>
    </w:p>
    <w:p>
      <w:pPr>
        <w:pStyle w:val="ListBullet"/>
        <w:spacing w:before="20" w:after="60" w:line="269" w:lineRule="auto"/>
      </w:pPr>
      <w:r>
        <w:rPr>
          <w:rFonts w:ascii="Arial" w:hAnsi="Arial"/>
          <w:b/>
          <w:color w:val="003366"/>
          <w:sz w:val="19"/>
        </w:rPr>
        <w:t xml:space="preserve">Predictive Accounting &amp; AI: </w:t>
      </w:r>
      <w:r>
        <w:rPr>
          <w:rFonts w:ascii="Arial" w:hAnsi="Arial"/>
          <w:color w:val="1E293B"/>
          <w:sz w:val="19"/>
        </w:rPr>
        <w:t>Leverages machine learning to predict invoice disputes, forecast cash flows, and automate continuous accounting reconciliations.</w:t>
      </w:r>
    </w:p>
    <w:p>
      <w:pPr>
        <w:keepNext/>
        <w:spacing w:before="320" w:after="100"/>
      </w:pPr>
      <w:r>
        <w:rPr>
          <w:rFonts w:ascii="Arial" w:hAnsi="Arial"/>
          <w:b/>
          <w:color w:val="003366"/>
          <w:sz w:val="28"/>
        </w:rPr>
        <w:t>12. Professional Conclusions &amp; Takeaways for SAP Consultants</w:t>
      </w:r>
    </w:p>
    <w:p>
      <w:pPr>
        <w:pStyle w:val="ListBullet"/>
        <w:spacing w:before="20" w:after="60" w:line="269" w:lineRule="auto"/>
      </w:pPr>
      <w:r>
        <w:rPr>
          <w:rFonts w:ascii="Arial" w:hAnsi="Arial"/>
          <w:b/>
          <w:color w:val="003366"/>
          <w:sz w:val="19"/>
        </w:rPr>
        <w:t xml:space="preserve">ERP is Organizational Re-Engineering: </w:t>
      </w:r>
      <w:r>
        <w:rPr>
          <w:rFonts w:ascii="Arial" w:hAnsi="Arial"/>
          <w:color w:val="1E293B"/>
          <w:sz w:val="19"/>
        </w:rPr>
        <w:t>Success is 80% change management, leadership alignment, and process discipline; software configuration represents only 20%.</w:t>
      </w:r>
    </w:p>
    <w:p>
      <w:pPr>
        <w:pStyle w:val="ListBullet"/>
        <w:spacing w:before="20" w:after="60" w:line="269" w:lineRule="auto"/>
      </w:pPr>
      <w:r>
        <w:rPr>
          <w:rFonts w:ascii="Arial" w:hAnsi="Arial"/>
          <w:b/>
          <w:color w:val="003366"/>
          <w:sz w:val="19"/>
        </w:rPr>
        <w:t xml:space="preserve">Master Data Integrity: </w:t>
      </w:r>
      <w:r>
        <w:rPr>
          <w:rFonts w:ascii="Arial" w:hAnsi="Arial"/>
          <w:color w:val="1E293B"/>
          <w:sz w:val="19"/>
        </w:rPr>
        <w:t>Master data is the lifeblood of SAP. Without harmonized vendor, customer, and material master records, automated account determination collapses.</w:t>
      </w:r>
    </w:p>
    <w:p>
      <w:pPr>
        <w:pStyle w:val="ListBullet"/>
        <w:spacing w:before="20" w:after="60" w:line="269" w:lineRule="auto"/>
      </w:pPr>
      <w:r>
        <w:rPr>
          <w:rFonts w:ascii="Arial" w:hAnsi="Arial"/>
          <w:b/>
          <w:color w:val="003366"/>
          <w:sz w:val="19"/>
        </w:rPr>
        <w:t xml:space="preserve">Integration Drives Value: </w:t>
      </w:r>
      <w:r>
        <w:rPr>
          <w:rFonts w:ascii="Arial" w:hAnsi="Arial"/>
          <w:color w:val="1E293B"/>
          <w:sz w:val="19"/>
        </w:rPr>
        <w:t>The true ROI of SAP FICO emerges at cross-module boundaries: OBYC for automated procurement accounting, VKOA for revenue recognition, and CO88 for manufacturing settlement.</w:t>
      </w:r>
    </w:p>
    <w:p>
      <w:pPr>
        <w:pStyle w:val="ListBullet"/>
        <w:spacing w:before="20" w:after="60" w:line="269" w:lineRule="auto"/>
      </w:pPr>
      <w:r>
        <w:rPr>
          <w:rFonts w:ascii="Arial" w:hAnsi="Arial"/>
          <w:b/>
          <w:color w:val="003366"/>
          <w:sz w:val="19"/>
        </w:rPr>
        <w:t xml:space="preserve">Standardize Before Automating: </w:t>
      </w:r>
      <w:r>
        <w:rPr>
          <w:rFonts w:ascii="Arial" w:hAnsi="Arial"/>
          <w:color w:val="1E293B"/>
          <w:sz w:val="19"/>
        </w:rPr>
        <w:t>Resist the urge to customize standard SAP code. Global best practices reduce total cost of ownership and guarantee long-term system agility.</w:t>
      </w:r>
    </w:p>
    <w:p>
      <w:pPr>
        <w:keepNext/>
        <w:spacing w:before="320" w:after="100"/>
      </w:pPr>
      <w:r>
        <w:rPr>
          <w:rFonts w:ascii="Arial" w:hAnsi="Arial"/>
          <w:b/>
          <w:color w:val="003366"/>
          <w:sz w:val="28"/>
        </w:rPr>
        <w:t>13. Comprehensive Bibliography &amp; Audit References</w:t>
      </w:r>
    </w:p>
    <w:p>
      <w:pPr>
        <w:pStyle w:val="ListBullet"/>
        <w:spacing w:before="20" w:after="60" w:line="269" w:lineRule="auto"/>
      </w:pPr>
      <w:r>
        <w:rPr>
          <w:rFonts w:ascii="Arial" w:hAnsi="Arial"/>
          <w:b/>
          <w:color w:val="003366"/>
          <w:sz w:val="19"/>
        </w:rPr>
        <w:t xml:space="preserve">1. </w:t>
      </w:r>
      <w:r>
        <w:rPr>
          <w:rFonts w:ascii="Arial" w:hAnsi="Arial"/>
          <w:color w:val="1E293B"/>
          <w:sz w:val="19"/>
        </w:rPr>
        <w:t>Austin, R. D., &amp; Brem, L. (2004). Nestlé's ERP Odyssey. Harvard Business School Case Study 9-804-121.</w:t>
      </w:r>
    </w:p>
    <w:p>
      <w:pPr>
        <w:pStyle w:val="ListBullet"/>
        <w:spacing w:before="20" w:after="60" w:line="269" w:lineRule="auto"/>
      </w:pPr>
      <w:r>
        <w:rPr>
          <w:rFonts w:ascii="Arial" w:hAnsi="Arial"/>
          <w:b/>
          <w:color w:val="003366"/>
          <w:sz w:val="19"/>
        </w:rPr>
        <w:t xml:space="preserve">2. </w:t>
      </w:r>
      <w:r>
        <w:rPr>
          <w:rFonts w:ascii="Arial" w:hAnsi="Arial"/>
          <w:color w:val="1E293B"/>
          <w:sz w:val="19"/>
        </w:rPr>
        <w:t>Brandeis University Case Series. The Global Business Excellence (GLOBE) Project at Nestlé: Overcoming Cultural Resistance.</w:t>
      </w:r>
    </w:p>
    <w:p>
      <w:pPr>
        <w:pStyle w:val="ListBullet"/>
        <w:spacing w:before="20" w:after="60" w:line="269" w:lineRule="auto"/>
      </w:pPr>
      <w:r>
        <w:rPr>
          <w:rFonts w:ascii="Arial" w:hAnsi="Arial"/>
          <w:b/>
          <w:color w:val="003366"/>
          <w:sz w:val="19"/>
        </w:rPr>
        <w:t xml:space="preserve">3. </w:t>
      </w:r>
      <w:r>
        <w:rPr>
          <w:rFonts w:ascii="Arial" w:hAnsi="Arial"/>
          <w:color w:val="1E293B"/>
          <w:sz w:val="19"/>
        </w:rPr>
        <w:t>MIT Sloan Management Review. Enterprise Systems and Business Transformation at Global Scale: Lessons from Nestlé.</w:t>
      </w:r>
    </w:p>
    <w:p>
      <w:pPr>
        <w:pStyle w:val="ListBullet"/>
        <w:spacing w:before="20" w:after="60" w:line="269" w:lineRule="auto"/>
      </w:pPr>
      <w:r>
        <w:rPr>
          <w:rFonts w:ascii="Arial" w:hAnsi="Arial"/>
          <w:b/>
          <w:color w:val="003366"/>
          <w:sz w:val="19"/>
        </w:rPr>
        <w:t xml:space="preserve">4. </w:t>
      </w:r>
      <w:r>
        <w:rPr>
          <w:rFonts w:ascii="Arial" w:hAnsi="Arial"/>
          <w:color w:val="1E293B"/>
          <w:sz w:val="19"/>
        </w:rPr>
        <w:t>Wall Street Journal. Nestlé Rolls Out Giant Computer System to Streamline Purchasing and Boost Margins.</w:t>
      </w:r>
    </w:p>
    <w:p>
      <w:pPr>
        <w:pStyle w:val="ListBullet"/>
        <w:spacing w:before="20" w:after="60" w:line="269" w:lineRule="auto"/>
      </w:pPr>
      <w:r>
        <w:rPr>
          <w:rFonts w:ascii="Arial" w:hAnsi="Arial"/>
          <w:b/>
          <w:color w:val="003366"/>
          <w:sz w:val="19"/>
        </w:rPr>
        <w:t xml:space="preserve">5. </w:t>
      </w:r>
      <w:r>
        <w:rPr>
          <w:rFonts w:ascii="Arial" w:hAnsi="Arial"/>
          <w:color w:val="1E293B"/>
          <w:sz w:val="19"/>
        </w:rPr>
        <w:t>SAP SE Customer Success Dossier. Nestlé S.A.: Sustaining Global Business Excellence with SAP S/4HANA.</w:t>
      </w:r>
    </w:p>
    <w:p>
      <w:pPr>
        <w:pStyle w:val="ListBullet"/>
        <w:spacing w:before="20" w:after="60" w:line="269" w:lineRule="auto"/>
      </w:pPr>
      <w:r>
        <w:rPr>
          <w:rFonts w:ascii="Arial" w:hAnsi="Arial"/>
          <w:b/>
          <w:color w:val="003366"/>
          <w:sz w:val="19"/>
        </w:rPr>
        <w:t xml:space="preserve">6. </w:t>
      </w:r>
      <w:r>
        <w:rPr>
          <w:rFonts w:ascii="Arial" w:hAnsi="Arial"/>
          <w:color w:val="1E293B"/>
          <w:sz w:val="19"/>
        </w:rPr>
        <w:t>SAP Press. Financial Accounting (FI) and Controlling (CO) Configuration Reference Manuals.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Author: Laxmi Gupta  |  SAP Consulting Intern  |  Enterprise Financial Systems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SAP FICO Enterprise Case Study | Nestlé S.A. (Project GLOBE)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