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3366"/>
          <w:sz w:val="42"/>
        </w:rPr>
        <w:t>SAP FICO Troubleshooting: Common Enterprise Issues, Error Codes, Root Cause Analysis, and Solutions Guide</w:t>
      </w:r>
    </w:p>
    <w:p>
      <w:pPr>
        <w:spacing w:before="0" w:after="280"/>
      </w:pPr>
      <w:r>
        <w:rPr>
          <w:rFonts w:ascii="Arial" w:hAnsi="Arial"/>
          <w:i/>
          <w:color w:val="46505F"/>
          <w:sz w:val="22"/>
        </w:rPr>
        <w:t>An Industrial-Grade Manual for Resolving Financial Accounting &amp; Controlling Incidents, Error Diagnostics, SPRO Customizing Corrections, and S/4HANA Modern Troubleshooting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1F5F9"/>
            <w:tcMar>
              <w:top w:w="60" w:type="dxa"/>
              <w:bottom w:w="60" w:type="dxa"/>
              <w:left w:w="100" w:type="dxa"/>
              <w:right w:w="100" w:type="dxa"/>
            </w:tcMar>
          </w:tcPr>
          <w:p>
            <w:pPr>
              <w:spacing w:after="40"/>
            </w:pPr>
            <w:r>
              <w:rPr>
                <w:rFonts w:ascii="Arial" w:hAnsi="Arial"/>
                <w:b/>
                <w:color w:val="003366"/>
                <w:sz w:val="18"/>
              </w:rPr>
              <w:t>Author / Candidate:</w:t>
            </w:r>
          </w:p>
        </w:tc>
        <w:tc>
          <w:tcPr>
            <w:tcW w:type="dxa" w:w="6192"/>
            <w:shd w:fill="FAFAFA"/>
            <w:tcMar>
              <w:top w:w="60" w:type="dxa"/>
              <w:bottom w:w="60" w:type="dxa"/>
              <w:left w:w="100" w:type="dxa"/>
              <w:right w:w="100" w:type="dxa"/>
            </w:tcMar>
          </w:tcPr>
          <w:p>
            <w:pPr>
              <w:spacing w:after="40"/>
            </w:pPr>
            <w:r>
              <w:rPr>
                <w:rFonts w:ascii="Arial" w:hAnsi="Arial"/>
                <w:color w:val="282828"/>
                <w:sz w:val="18"/>
              </w:rPr>
              <w:t>Laxmi Gupta (SAP Consulting / ERP Intern)</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Project Task:</w:t>
            </w:r>
          </w:p>
        </w:tc>
        <w:tc>
          <w:tcPr>
            <w:tcW w:type="dxa" w:w="6192"/>
            <w:shd w:fill="FAFAFA"/>
            <w:tcMar>
              <w:top w:w="60" w:type="dxa"/>
              <w:bottom w:w="60" w:type="dxa"/>
              <w:left w:w="100" w:type="dxa"/>
              <w:right w:w="100" w:type="dxa"/>
            </w:tcMar>
          </w:tcPr>
          <w:p>
            <w:pPr>
              <w:spacing w:after="40"/>
            </w:pPr>
            <w:r>
              <w:rPr>
                <w:rFonts w:ascii="Arial" w:hAnsi="Arial"/>
                <w:color w:val="282828"/>
                <w:sz w:val="18"/>
              </w:rPr>
              <w:t>Week 5 Task: SAP FICO Troubleshooting &amp; Incident Resolution</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Deliverable Type:</w:t>
            </w:r>
          </w:p>
        </w:tc>
        <w:tc>
          <w:tcPr>
            <w:tcW w:type="dxa" w:w="6192"/>
            <w:shd w:fill="FAFAFA"/>
            <w:tcMar>
              <w:top w:w="60" w:type="dxa"/>
              <w:bottom w:w="60" w:type="dxa"/>
              <w:left w:w="100" w:type="dxa"/>
              <w:right w:w="100" w:type="dxa"/>
            </w:tcMar>
          </w:tcPr>
          <w:p>
            <w:pPr>
              <w:spacing w:after="40"/>
            </w:pPr>
            <w:r>
              <w:rPr>
                <w:rFonts w:ascii="Arial" w:hAnsi="Arial"/>
                <w:color w:val="282828"/>
                <w:sz w:val="18"/>
              </w:rPr>
              <w:t>Formal Industrial Enterprise Troubleshooting Handbook (DOCX)</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Target System Scope:</w:t>
            </w:r>
          </w:p>
        </w:tc>
        <w:tc>
          <w:tcPr>
            <w:tcW w:type="dxa" w:w="6192"/>
            <w:shd w:fill="FAFAFA"/>
            <w:tcMar>
              <w:top w:w="60" w:type="dxa"/>
              <w:bottom w:w="60" w:type="dxa"/>
              <w:left w:w="100" w:type="dxa"/>
              <w:right w:w="100" w:type="dxa"/>
            </w:tcMar>
          </w:tcPr>
          <w:p>
            <w:pPr>
              <w:spacing w:after="40"/>
            </w:pPr>
            <w:r>
              <w:rPr>
                <w:rFonts w:ascii="Arial" w:hAnsi="Arial"/>
                <w:color w:val="282828"/>
                <w:sz w:val="18"/>
              </w:rPr>
              <w:t>SAP ERP ECC 6.0 EHP8 &amp; SAP S/4HANA 2023 Enterprise Edition</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Incident Domains Covered:</w:t>
            </w:r>
          </w:p>
        </w:tc>
        <w:tc>
          <w:tcPr>
            <w:tcW w:type="dxa" w:w="6192"/>
            <w:shd w:fill="FAFAFA"/>
            <w:tcMar>
              <w:top w:w="60" w:type="dxa"/>
              <w:bottom w:w="60" w:type="dxa"/>
              <w:left w:w="100" w:type="dxa"/>
              <w:right w:w="100" w:type="dxa"/>
            </w:tcMar>
          </w:tcPr>
          <w:p>
            <w:pPr>
              <w:spacing w:after="40"/>
            </w:pPr>
            <w:r>
              <w:rPr>
                <w:rFonts w:ascii="Arial" w:hAnsi="Arial"/>
                <w:color w:val="282828"/>
                <w:sz w:val="18"/>
              </w:rPr>
              <w:t>FI-GL, FI-AP, FI-AR, FI-AA, FI-BL, CO-CCA, CO-IO, CO-PC, CO-PA, Technical Diagnostics</w:t>
            </w:r>
          </w:p>
        </w:tc>
      </w:tr>
      <w:tr>
        <w:tc>
          <w:tcPr>
            <w:tcW w:type="dxa" w:w="3168"/>
            <w:shd w:fill="F1F5F9"/>
            <w:tcMar>
              <w:top w:w="60" w:type="dxa"/>
              <w:bottom w:w="60" w:type="dxa"/>
              <w:left w:w="100" w:type="dxa"/>
              <w:right w:w="100" w:type="dxa"/>
            </w:tcMar>
          </w:tcPr>
          <w:p>
            <w:pPr>
              <w:spacing w:after="40"/>
            </w:pPr>
            <w:r>
              <w:rPr>
                <w:rFonts w:ascii="Arial" w:hAnsi="Arial"/>
                <w:b/>
                <w:color w:val="003366"/>
                <w:sz w:val="18"/>
              </w:rPr>
              <w:t>Evaluation Focus:</w:t>
            </w:r>
          </w:p>
        </w:tc>
        <w:tc>
          <w:tcPr>
            <w:tcW w:type="dxa" w:w="6192"/>
            <w:shd w:fill="FAFAFA"/>
            <w:tcMar>
              <w:top w:w="60" w:type="dxa"/>
              <w:bottom w:w="60" w:type="dxa"/>
              <w:left w:w="100" w:type="dxa"/>
              <w:right w:w="100" w:type="dxa"/>
            </w:tcMar>
          </w:tcPr>
          <w:p>
            <w:pPr>
              <w:spacing w:after="40"/>
            </w:pPr>
            <w:r>
              <w:rPr>
                <w:rFonts w:ascii="Arial" w:hAnsi="Arial"/>
                <w:color w:val="282828"/>
                <w:sz w:val="18"/>
              </w:rPr>
              <w:t>Relevance of Issues, Technical Depth, Effectiveness of Solutions, and Clarity</w:t>
            </w:r>
          </w:p>
        </w:tc>
      </w:tr>
    </w:tbl>
    <w:p>
      <w:pPr>
        <w:spacing w:after="160"/>
      </w:pPr>
    </w:p>
    <w:p>
      <w:pPr>
        <w:keepNext/>
        <w:spacing w:before="320" w:after="100"/>
      </w:pPr>
      <w:r>
        <w:rPr>
          <w:rFonts w:ascii="Arial" w:hAnsi="Arial"/>
          <w:b/>
          <w:color w:val="003366"/>
          <w:sz w:val="28"/>
        </w:rPr>
        <w:t>Executive Summary</w:t>
      </w:r>
    </w:p>
    <w:p>
      <w:pPr>
        <w:spacing w:before="0" w:after="80" w:line="276" w:lineRule="auto"/>
      </w:pPr>
      <w:r>
        <w:rPr>
          <w:rFonts w:ascii="Arial" w:hAnsi="Arial"/>
          <w:color w:val="1E293B"/>
          <w:sz w:val="19"/>
        </w:rPr>
        <w:t>In enterprise resource planning (ERP) environments, high system availability, transactional integrity, and rapid incident resolution are vital to sustaining business continuity. SAP Financial Accounting (FI) and Controlling (CO) act as the central accounting and valuation clearinghouse for all enterprise activities. When an error arises—whether a blocked billing document in Sales &amp; Distribution (SD), an unmapped Goods Receipt in Materials Management (MM), an asset depreciation failure, or a failed automated payment run—the organization faces immediate operational disruption: month-end closes freeze, shipments halt, vendor relationships strain, and statutory reporting is delayed.</w:t>
      </w:r>
    </w:p>
    <w:p>
      <w:pPr>
        <w:spacing w:before="0" w:after="80" w:line="276" w:lineRule="auto"/>
      </w:pPr>
      <w:r>
        <w:rPr>
          <w:rFonts w:ascii="Arial" w:hAnsi="Arial"/>
          <w:color w:val="1E293B"/>
          <w:sz w:val="19"/>
        </w:rPr>
        <w:t>Troubleshooting in SAP FICO is a rigorous, structured engineering discipline. It demands deep understanding of the delicate interplay between master data maintenance (FS00, BP, CS01) and SPRO customizing rules, cross-module account determination (OBYC, VKOA, AO90), and technical system logs (ST22, SM21, SM12, SM13).</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left w:val="single" w:sz="24" w:space="0" w:color="003366"/>
              <w:top w:val="none"/>
              <w:right w:val="none"/>
              <w:bottom w:val="none"/>
            </w:tcBorders>
          </w:tcPr>
          <w:p>
            <w:pPr>
              <w:spacing w:before="40" w:after="40" w:line="276" w:lineRule="auto"/>
            </w:pPr>
            <w:r>
              <w:rPr>
                <w:rFonts w:ascii="Arial" w:hAnsi="Arial"/>
                <w:b/>
                <w:color w:val="003366"/>
                <w:sz w:val="20"/>
              </w:rPr>
              <w:t>Core Consulting Axiom</w:t>
              <w:br/>
            </w:r>
            <w:r>
              <w:rPr>
                <w:rFonts w:ascii="Arial" w:hAnsi="Arial"/>
                <w:i/>
                <w:color w:val="1E293B"/>
                <w:sz w:val="19"/>
              </w:rPr>
              <w:t>"Troubleshooting is root-cause analysis, not patching. Over 80% of SAP FICO production incidents occur at cross-module integration boundaries (MM-FI, SD-FI, PP-CO). True resolution requires diagnosing whether an issue stems from master data omissions, customizing table gaps, or process non-compliance—and fixing it at the root."</w:t>
            </w:r>
          </w:p>
        </w:tc>
      </w:tr>
    </w:tbl>
    <w:p>
      <w:pPr>
        <w:spacing w:after="80"/>
      </w:pPr>
    </w:p>
    <w:p>
      <w:pPr>
        <w:keepNext/>
        <w:spacing w:before="320" w:after="100"/>
      </w:pPr>
      <w:r>
        <w:rPr>
          <w:rFonts w:ascii="Arial" w:hAnsi="Arial"/>
          <w:b/>
          <w:color w:val="003366"/>
          <w:sz w:val="28"/>
        </w:rPr>
        <w:t>1. The 5-Stage Scientific Diagnostic Framework</w:t>
      </w:r>
    </w:p>
    <w:p>
      <w:pPr>
        <w:spacing w:before="0" w:after="80" w:line="276" w:lineRule="auto"/>
      </w:pPr>
      <w:r>
        <w:rPr>
          <w:rFonts w:ascii="Arial" w:hAnsi="Arial"/>
          <w:color w:val="1E293B"/>
          <w:sz w:val="19"/>
        </w:rPr>
        <w:t>To resolve complex FICO incidents without creating secondary regression defects, consultants adhere to a 5-stage framework:</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w:t>
              <w:br/>
              <w:t>|                 THE 5-STAGE SAP FICO DIAGNOSTIC FRAMEWORK               |</w:t>
              <w:br/>
              <w:t>+-------------------+--------------------+--------------------------------+</w:t>
              <w:br/>
              <w:t>| 1. DECONSTRUCT    | Extract Message Class &amp; Number (SE91); analyze F1 doc. |</w:t>
              <w:br/>
              <w:t>| 2. CONTEXT TRACE  | Review source vouchers (PO, SO, Billing) &amp; simulate QAS|</w:t>
              <w:br/>
              <w:t>| 3. CONFLICT AUDIT | Audit Master Data vs. SPRO Customizing tables.         |</w:t>
              <w:br/>
              <w:t>| 4. SYSTEM LOGS    | Inspect ABAP Dumps (ST22), SysLog (SM21), Locks (SM12).|</w:t>
              <w:br/>
              <w:t>| 5. RESOLVE &amp; DOC  | Apply fix in DEV, test in QAS, transport, &amp; log in KB. |</w:t>
              <w:br/>
              <w:t>+-------------------+--------------------+--------------------------------+</w:t>
            </w:r>
          </w:p>
        </w:tc>
      </w:tr>
    </w:tbl>
    <w:p>
      <w:pPr>
        <w:spacing w:after="80"/>
      </w:pPr>
    </w:p>
    <w:p>
      <w:pPr>
        <w:keepNext/>
        <w:spacing w:before="320" w:after="100"/>
      </w:pPr>
      <w:r>
        <w:rPr>
          <w:rFonts w:ascii="Arial" w:hAnsi="Arial"/>
          <w:b/>
          <w:color w:val="003366"/>
          <w:sz w:val="28"/>
        </w:rPr>
        <w:t>2. General Ledger (FI-GL) &amp; Posting Issues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Symptom &amp; Error Text</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Root Cause &amp; Resolution Summary</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F5 286 / 201</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Posting period not open for variant and account type +</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Period locked in OB52. Open Period 1 in OB52 for account type '+' and specific account type.</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KI 235</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Account requires an assignment to a CO object</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Primary cost element missing Cost Center/Order. Enter cost center or configure default in OKB9.</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GLT2 201</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Balancing field 'Profit Center' not filled</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Document splitting issue. Classify GL accounts in GSP_RD; map document types in GSP_VD.</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F5 063</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Exchange rate difference key not defined</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Foreign currency revaluation failure. Maintain realized/unrealized accounts in OBA1 (Key KDF).</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F5 150 / 151</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Document number range exhausted or not defined</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Number range interval missing for year. Add interval via FBN1 or copy via OBH2.</w:t>
            </w:r>
          </w:p>
        </w:tc>
      </w:tr>
    </w:tbl>
    <w:p>
      <w:pPr>
        <w:spacing w:after="80"/>
      </w:pPr>
    </w:p>
    <w:p>
      <w:pPr>
        <w:keepNext/>
        <w:spacing w:before="240" w:after="60"/>
      </w:pPr>
      <w:r>
        <w:rPr>
          <w:rFonts w:ascii="Arial" w:hAnsi="Arial"/>
          <w:b/>
          <w:color w:val="1E4078"/>
          <w:sz w:val="23"/>
        </w:rPr>
        <w:t>Detailed Technical Resolutions for General Ledger Incidents:</w:t>
      </w:r>
    </w:p>
    <w:p>
      <w:pPr>
        <w:pStyle w:val="ListBullet"/>
        <w:spacing w:before="20" w:after="60" w:line="269" w:lineRule="auto"/>
      </w:pPr>
      <w:r>
        <w:rPr>
          <w:rFonts w:ascii="Arial" w:hAnsi="Arial"/>
          <w:b/>
          <w:color w:val="003366"/>
          <w:sz w:val="19"/>
        </w:rPr>
        <w:t xml:space="preserve">Resolving Posting Period Locks (OB52): </w:t>
      </w:r>
      <w:r>
        <w:rPr>
          <w:rFonts w:ascii="Arial" w:hAnsi="Arial"/>
          <w:color w:val="1E293B"/>
          <w:sz w:val="19"/>
        </w:rPr>
        <w:t>Posting period variants are assigned to company codes in OBBP. When OB52 is locked, transactions halt. Ensure the global '+' record and the specific account type (S, K, D, A, M) cover the transaction posting date. If special periods (13-16) are used, assign an authorization group to restrict year-end auditor adjustments.</w:t>
      </w:r>
    </w:p>
    <w:p>
      <w:pPr>
        <w:pStyle w:val="ListBullet"/>
        <w:spacing w:before="20" w:after="60" w:line="269" w:lineRule="auto"/>
      </w:pPr>
      <w:r>
        <w:rPr>
          <w:rFonts w:ascii="Arial" w:hAnsi="Arial"/>
          <w:b/>
          <w:color w:val="003366"/>
          <w:sz w:val="19"/>
        </w:rPr>
        <w:t xml:space="preserve">Resolving Missing CO Object Assignments (OKB9 / FS00): </w:t>
      </w:r>
      <w:r>
        <w:rPr>
          <w:rFonts w:ascii="Arial" w:hAnsi="Arial"/>
          <w:color w:val="1E293B"/>
          <w:sz w:val="19"/>
        </w:rPr>
        <w:t>If an expense GL account is created as Cost Element Category 1, SAP mandates a CO account assignment. For automated SD/MM postings, maintain transaction OKB9 (Default Account Assignment) by Company Code, Plant, and Profit Center to automatically derive the cost center without end-user intervention.</w:t>
      </w:r>
    </w:p>
    <w:p>
      <w:pPr>
        <w:pStyle w:val="ListBullet"/>
        <w:spacing w:before="20" w:after="60" w:line="269" w:lineRule="auto"/>
      </w:pPr>
      <w:r>
        <w:rPr>
          <w:rFonts w:ascii="Arial" w:hAnsi="Arial"/>
          <w:b/>
          <w:color w:val="003366"/>
          <w:sz w:val="19"/>
        </w:rPr>
        <w:t xml:space="preserve">Resolving Document Splitting Errors (GSP_RD / GSP_VD): </w:t>
      </w:r>
      <w:r>
        <w:rPr>
          <w:rFonts w:ascii="Arial" w:hAnsi="Arial"/>
          <w:color w:val="1E293B"/>
          <w:sz w:val="19"/>
        </w:rPr>
        <w:t>New GL document splitting guarantees a zero-balance balance sheet by Profit Center and Segment. If an account is unclassified, the posting fails. Use GSP_RD to assign Item Categories (01000 Balance Sheet, 02000 Customer, 03000 Vendor, 20000 Expense) and ensure zero-balance clearing accounts are defined.</w:t>
      </w:r>
    </w:p>
    <w:p>
      <w:pPr>
        <w:keepNext/>
        <w:spacing w:before="320" w:after="100"/>
      </w:pPr>
      <w:r>
        <w:rPr>
          <w:rFonts w:ascii="Arial" w:hAnsi="Arial"/>
          <w:b/>
          <w:color w:val="003366"/>
          <w:sz w:val="28"/>
        </w:rPr>
        <w:t>3. Accounts Payable (FI-AP) &amp; Procure-to-Pay (P2P) Issues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Symptom &amp; Error Text</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Root Cause &amp; Resolution Summary</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M8 147</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GR/IR clearing account cannot be determined</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Missing account determination in OBYC for transaction key WRX. Map Valuation Class in OBYC.</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FZ 348 / 349</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Payment run F110: Payment method not found/blocked</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Missing FBZP house bank determination, vendor master missing bank, or invoice blocked with 'A'.</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M8 082 / 084</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Price variance exceeds tolerance limit in MIRO</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Invoice price exceeds PO price beyond OMR6 tolerance keys (PP, BD). Review PO history or release via MRBR.</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7Q 300 / 320</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Withholding tax base amount is zero / code missing</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Vendor master missing WHT recipient flag or WHT type not assigned to Company Code.</w:t>
            </w:r>
          </w:p>
        </w:tc>
      </w:tr>
    </w:tbl>
    <w:p>
      <w:pPr>
        <w:spacing w:after="80"/>
      </w:pPr>
    </w:p>
    <w:p>
      <w:pPr>
        <w:keepNext/>
        <w:spacing w:before="240" w:after="60"/>
      </w:pPr>
      <w:r>
        <w:rPr>
          <w:rFonts w:ascii="Arial" w:hAnsi="Arial"/>
          <w:b/>
          <w:color w:val="1E4078"/>
          <w:sz w:val="23"/>
        </w:rPr>
        <w:t>Detailed Technical Resolutions for Accounts Payable Incidents:</w:t>
      </w:r>
    </w:p>
    <w:p>
      <w:pPr>
        <w:pStyle w:val="ListBullet"/>
        <w:spacing w:before="20" w:after="60" w:line="269" w:lineRule="auto"/>
      </w:pPr>
      <w:r>
        <w:rPr>
          <w:rFonts w:ascii="Arial" w:hAnsi="Arial"/>
          <w:b/>
          <w:color w:val="003366"/>
          <w:sz w:val="19"/>
        </w:rPr>
        <w:t xml:space="preserve">Resolving GR/IR Account Determination (OBYC - WRX): </w:t>
      </w:r>
      <w:r>
        <w:rPr>
          <w:rFonts w:ascii="Arial" w:hAnsi="Arial"/>
          <w:color w:val="1E293B"/>
          <w:sz w:val="19"/>
        </w:rPr>
        <w:t>During goods receipt (MIGO) and invoice receipt (MIRO), SAP offsets inventory against GR/IR clearing. If transaction OBYC lacks a mapping for key WRX for the chart of accounts and valuation class, the posting halts. Map a balance sheet GR/IR clearing account in OBYC.</w:t>
      </w:r>
    </w:p>
    <w:p>
      <w:pPr>
        <w:pStyle w:val="ListBullet"/>
        <w:spacing w:before="20" w:after="60" w:line="269" w:lineRule="auto"/>
      </w:pPr>
      <w:r>
        <w:rPr>
          <w:rFonts w:ascii="Arial" w:hAnsi="Arial"/>
          <w:b/>
          <w:color w:val="003366"/>
          <w:sz w:val="19"/>
        </w:rPr>
        <w:t xml:space="preserve">Resolving F110 Automated Payment Run Failures: </w:t>
      </w:r>
      <w:r>
        <w:rPr>
          <w:rFonts w:ascii="Arial" w:hAnsi="Arial"/>
          <w:color w:val="1E293B"/>
          <w:sz w:val="19"/>
        </w:rPr>
        <w:t>Check the F110 Proposal Log with 'Additional Log' enabled. If error FZ 349 occurs, inspect transaction FBZP -&gt; Bank Determination -&gt; Ranking Order and Available Amounts to ensure cash disbursement limits exceed the batch payment amount. Check FBL1N to clear payment blocks.</w:t>
      </w:r>
    </w:p>
    <w:p>
      <w:pPr>
        <w:pStyle w:val="ListBullet"/>
        <w:spacing w:before="20" w:after="60" w:line="269" w:lineRule="auto"/>
      </w:pPr>
      <w:r>
        <w:rPr>
          <w:rFonts w:ascii="Arial" w:hAnsi="Arial"/>
          <w:b/>
          <w:color w:val="003366"/>
          <w:sz w:val="19"/>
        </w:rPr>
        <w:t xml:space="preserve">Managing Price Variances in MIRO (OMR6 / MRBR): </w:t>
      </w:r>
      <w:r>
        <w:rPr>
          <w:rFonts w:ascii="Arial" w:hAnsi="Arial"/>
          <w:color w:val="1E293B"/>
          <w:sz w:val="19"/>
        </w:rPr>
        <w:t>When an invoice price deviates from the PO, tolerance key PP in OMR6 blocks payment. Once purchasing confirms the price variance, the accounting manager executes transaction MRBR (Release Blocked Invoices) to release the item for F110 payment.</w:t>
      </w:r>
    </w:p>
    <w:p>
      <w:pPr>
        <w:keepNext/>
        <w:spacing w:before="320" w:after="100"/>
      </w:pPr>
      <w:r>
        <w:rPr>
          <w:rFonts w:ascii="Arial" w:hAnsi="Arial"/>
          <w:b/>
          <w:color w:val="003366"/>
          <w:sz w:val="28"/>
        </w:rPr>
        <w:t>4. Accounts Receivable (FI-AR) &amp; Order-to-Cash (O2C) Issues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Symptom &amp; Error Text</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Root Cause &amp; Resolution Summary</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VF 051 / FF 704</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Account determination for SD (VKOA) not possible</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Missing revenue mapping in VKOA for Condition Type (PR00), Sales Org, and Account Assignment Groups.</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V1 150 / Credit</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Customer credit limit exceeded: Order blocked</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Dynamic credit limit check failed in OVA8. Inspect exposure in FD33 / release via VKM3.</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FEBAN Error</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Electronic Bank Statement item not clearing customer</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Search string mismatch or interpretation algorithm in OT83 unable to parse invoice number.</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F-28 Difference</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Difference too large for clearing customer item</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Payment amount does not equal open invoice balance beyond user tolerance limits in OBA3.</w:t>
            </w:r>
          </w:p>
        </w:tc>
      </w:tr>
    </w:tbl>
    <w:p>
      <w:pPr>
        <w:spacing w:after="80"/>
      </w:pPr>
    </w:p>
    <w:p>
      <w:pPr>
        <w:keepNext/>
        <w:spacing w:before="240" w:after="60"/>
      </w:pPr>
      <w:r>
        <w:rPr>
          <w:rFonts w:ascii="Arial" w:hAnsi="Arial"/>
          <w:b/>
          <w:color w:val="1E4078"/>
          <w:sz w:val="23"/>
        </w:rPr>
        <w:t>Detailed Technical Resolutions for Accounts Receivable Incidents:</w:t>
      </w:r>
    </w:p>
    <w:p>
      <w:pPr>
        <w:pStyle w:val="ListBullet"/>
        <w:spacing w:before="20" w:after="60" w:line="269" w:lineRule="auto"/>
      </w:pPr>
      <w:r>
        <w:rPr>
          <w:rFonts w:ascii="Arial" w:hAnsi="Arial"/>
          <w:b/>
          <w:color w:val="003366"/>
          <w:sz w:val="19"/>
        </w:rPr>
        <w:t xml:space="preserve">Resolving SD Revenue Account Determination (VKOA): </w:t>
      </w:r>
      <w:r>
        <w:rPr>
          <w:rFonts w:ascii="Arial" w:hAnsi="Arial"/>
          <w:color w:val="1E293B"/>
          <w:sz w:val="19"/>
        </w:rPr>
        <w:t>When releasing a billing document (VF02), click Environment -&gt; Account Determination Analysis -&gt; Revenue Accounts. Identify the unmapped combination of Customer Account Assignment Group (from customer BP) and Material Account Assignment Group (from MM02). Maintain the missing revenue account in transaction VKOA.</w:t>
      </w:r>
    </w:p>
    <w:p>
      <w:pPr>
        <w:pStyle w:val="ListBullet"/>
        <w:spacing w:before="20" w:after="60" w:line="269" w:lineRule="auto"/>
      </w:pPr>
      <w:r>
        <w:rPr>
          <w:rFonts w:ascii="Arial" w:hAnsi="Arial"/>
          <w:b/>
          <w:color w:val="003366"/>
          <w:sz w:val="19"/>
        </w:rPr>
        <w:t xml:space="preserve">Resolving Customer Credit Blocks (OVA8 / VKM3): </w:t>
      </w:r>
      <w:r>
        <w:rPr>
          <w:rFonts w:ascii="Arial" w:hAnsi="Arial"/>
          <w:color w:val="1E293B"/>
          <w:sz w:val="19"/>
        </w:rPr>
        <w:t>Dynamic credit checks aggregate open receivables, deliveries, and orders. If credit limit is breached, credit managers review customer financials in FD33 / FSCM and release the blocked sales document using transaction VKM3 or VKM1.</w:t>
      </w:r>
    </w:p>
    <w:p>
      <w:pPr>
        <w:pStyle w:val="ListBullet"/>
        <w:spacing w:before="20" w:after="60" w:line="269" w:lineRule="auto"/>
      </w:pPr>
      <w:r>
        <w:rPr>
          <w:rFonts w:ascii="Arial" w:hAnsi="Arial"/>
          <w:b/>
          <w:color w:val="003366"/>
          <w:sz w:val="19"/>
        </w:rPr>
        <w:t xml:space="preserve">Resolving EBS Bank Clearing Failures (FEBAN / OT83): </w:t>
      </w:r>
      <w:r>
        <w:rPr>
          <w:rFonts w:ascii="Arial" w:hAnsi="Arial"/>
          <w:color w:val="1E293B"/>
          <w:sz w:val="19"/>
        </w:rPr>
        <w:t>When MT940 statements do not match customer invoices, maintain customized search strings in OTPM/OT83 to extract variable invoice number formats from the bank statement Note-to-Payee field, or perform interactive manual clearing in FEBAN.</w:t>
      </w:r>
    </w:p>
    <w:p>
      <w:pPr>
        <w:keepNext/>
        <w:spacing w:before="320" w:after="100"/>
      </w:pPr>
      <w:r>
        <w:rPr>
          <w:rFonts w:ascii="Arial" w:hAnsi="Arial"/>
          <w:b/>
          <w:color w:val="003366"/>
          <w:sz w:val="28"/>
        </w:rPr>
        <w:t>5. Asset Accounting (FI-AA) Issues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Symptom &amp; Error Text</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Root Cause &amp; Resolution Summary</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AA 729 / 688</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Depreciation not completely posted for prior year</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Year-end close AJAB failed due to unposted planned depreciation. Execute AFAB in restart mode.</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AA 400 / 416</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Retirement exceeds NBV / Negative depreciation</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Asset value date is prior to capital acquisition, or depreciation key disallows negative net book value.</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ABST2 Error</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Reconciliation diff between Asset Subledger and GL</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Manual journal posted to reconciliation account. Reconcile with RAABST02 and set Recon flag in FS00.</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AIBU Error</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Asset under Construction (AuC) settlement failure</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AuC capital project lacks settlement rule. Maintain investment profile or settlement rule in AIAB.</w:t>
            </w:r>
          </w:p>
        </w:tc>
      </w:tr>
    </w:tbl>
    <w:p>
      <w:pPr>
        <w:spacing w:after="80"/>
      </w:pPr>
    </w:p>
    <w:p>
      <w:pPr>
        <w:keepNext/>
        <w:spacing w:before="240" w:after="60"/>
      </w:pPr>
      <w:r>
        <w:rPr>
          <w:rFonts w:ascii="Arial" w:hAnsi="Arial"/>
          <w:b/>
          <w:color w:val="1E4078"/>
          <w:sz w:val="23"/>
        </w:rPr>
        <w:t>Detailed Technical Resolutions for Asset Accounting Incidents:</w:t>
      </w:r>
    </w:p>
    <w:p>
      <w:pPr>
        <w:pStyle w:val="ListBullet"/>
        <w:spacing w:before="20" w:after="60" w:line="269" w:lineRule="auto"/>
      </w:pPr>
      <w:r>
        <w:rPr>
          <w:rFonts w:ascii="Arial" w:hAnsi="Arial"/>
          <w:b/>
          <w:color w:val="003366"/>
          <w:sz w:val="19"/>
        </w:rPr>
        <w:t xml:space="preserve">Resolving Year-End Asset Closing Errors (AJAB / AFAB): </w:t>
      </w:r>
      <w:r>
        <w:rPr>
          <w:rFonts w:ascii="Arial" w:hAnsi="Arial"/>
          <w:color w:val="1E293B"/>
          <w:sz w:val="19"/>
        </w:rPr>
        <w:t>SAP prevents closing an asset fiscal year if planned depreciation remains unposted. Execute AFBP to identify unposted assets, run AFAB in background mode for Period 12 in 'Repeat' or 'Restart' mode, and re-execute AJAB to close the asset year.</w:t>
      </w:r>
    </w:p>
    <w:p>
      <w:pPr>
        <w:pStyle w:val="ListBullet"/>
        <w:spacing w:before="20" w:after="60" w:line="269" w:lineRule="auto"/>
      </w:pPr>
      <w:r>
        <w:rPr>
          <w:rFonts w:ascii="Arial" w:hAnsi="Arial"/>
          <w:b/>
          <w:color w:val="003366"/>
          <w:sz w:val="19"/>
        </w:rPr>
        <w:t xml:space="preserve">Resolving Subledger vs. General Ledger Differences (ABST2): </w:t>
      </w:r>
      <w:r>
        <w:rPr>
          <w:rFonts w:ascii="Arial" w:hAnsi="Arial"/>
          <w:color w:val="1E293B"/>
          <w:sz w:val="19"/>
        </w:rPr>
        <w:t>If report ABST2 flags discrepancies, audit the account in FBL3N. Ensure the GL account field 'Recon. account for acct type' is set to 'Assets' in FS00 to prohibit manual FB50 postings, and post adjusting entries via ABF1.</w:t>
      </w:r>
    </w:p>
    <w:p>
      <w:pPr>
        <w:keepNext/>
        <w:spacing w:before="320" w:after="100"/>
      </w:pPr>
      <w:r>
        <w:rPr>
          <w:rFonts w:ascii="Arial" w:hAnsi="Arial"/>
          <w:b/>
          <w:color w:val="003366"/>
          <w:sz w:val="28"/>
        </w:rPr>
        <w:t>6. Controlling (CO) Managerial &amp; Costing Issues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Symptom &amp; Error Text</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Root Cause &amp; Resolution Summary</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KD 205</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Order requires settlement rule or rule not maintained</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Internal or production order settlement KO88/CO88 failed. Maintain settlement rule in KO02/CO02.</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CK 465 / KI 113</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No standard cost estimate found for material</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Material has price control 'S' but lacks released cost estimate. Calculate in CK11N; mark/release in CK24.</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C+ 704</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Material Ledger: Closing entries cannot be posted</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Period shift MMPV out of sync with CKMLCP. Follow strict sequential closing steps in CKMLCP.</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KE 015 / 083</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Profitability Analysis characteristic derivation failed</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Derivation rule missing in KEDR. Add fallback rule or table lookup for product/customer characteristics.</w:t>
            </w:r>
          </w:p>
        </w:tc>
      </w:tr>
    </w:tbl>
    <w:p>
      <w:pPr>
        <w:spacing w:after="80"/>
      </w:pPr>
    </w:p>
    <w:p>
      <w:pPr>
        <w:keepNext/>
        <w:spacing w:before="240" w:after="60"/>
      </w:pPr>
      <w:r>
        <w:rPr>
          <w:rFonts w:ascii="Arial" w:hAnsi="Arial"/>
          <w:b/>
          <w:color w:val="1E4078"/>
          <w:sz w:val="23"/>
        </w:rPr>
        <w:t>Detailed Technical Resolutions for Controlling Incidents:</w:t>
      </w:r>
    </w:p>
    <w:p>
      <w:pPr>
        <w:pStyle w:val="ListBullet"/>
        <w:spacing w:before="20" w:after="60" w:line="269" w:lineRule="auto"/>
      </w:pPr>
      <w:r>
        <w:rPr>
          <w:rFonts w:ascii="Arial" w:hAnsi="Arial"/>
          <w:b/>
          <w:color w:val="003366"/>
          <w:sz w:val="19"/>
        </w:rPr>
        <w:t xml:space="preserve">Maintaining Order Settlement Rules (KO02 / CO02): </w:t>
      </w:r>
      <w:r>
        <w:rPr>
          <w:rFonts w:ascii="Arial" w:hAnsi="Arial"/>
          <w:color w:val="1E293B"/>
          <w:sz w:val="19"/>
        </w:rPr>
        <w:t>Orders accumulating costs require a settlement rule to transfer balances at month-end. In KO02/CO02, navigate to Settlement Rule, specify category (CTR Cost Center, PSG Profitability Segment), receiver number, and 100% distribution.</w:t>
      </w:r>
    </w:p>
    <w:p>
      <w:pPr>
        <w:pStyle w:val="ListBullet"/>
        <w:spacing w:before="20" w:after="60" w:line="269" w:lineRule="auto"/>
      </w:pPr>
      <w:r>
        <w:rPr>
          <w:rFonts w:ascii="Arial" w:hAnsi="Arial"/>
          <w:b/>
          <w:color w:val="003366"/>
          <w:sz w:val="19"/>
        </w:rPr>
        <w:t xml:space="preserve">Marking and Releasing Standard Costs (CK11N / CK24): </w:t>
      </w:r>
      <w:r>
        <w:rPr>
          <w:rFonts w:ascii="Arial" w:hAnsi="Arial"/>
          <w:color w:val="1E293B"/>
          <w:sz w:val="19"/>
        </w:rPr>
        <w:t>When standard price 'S' materials lack cost estimates, sales deliveries and goods issues fail. Calculate costs via CK11N (or CK40N for mass runs), activate marking allowance in CK24, mark the future price, and release to current standard price.</w:t>
      </w:r>
    </w:p>
    <w:p>
      <w:pPr>
        <w:keepNext/>
        <w:spacing w:before="320" w:after="100"/>
      </w:pPr>
      <w:r>
        <w:rPr>
          <w:rFonts w:ascii="Arial" w:hAnsi="Arial"/>
          <w:b/>
          <w:color w:val="003366"/>
          <w:sz w:val="28"/>
        </w:rPr>
        <w:t>7. Enterprise Technical Diagnostics &amp; System Tools</w:t>
      </w:r>
    </w:p>
    <w:p>
      <w:pPr>
        <w:spacing w:before="0" w:after="80" w:line="276" w:lineRule="auto"/>
      </w:pPr>
      <w:r>
        <w:rPr>
          <w:rFonts w:ascii="Arial" w:hAnsi="Arial"/>
          <w:color w:val="1E293B"/>
          <w:sz w:val="19"/>
        </w:rPr>
        <w:t>When application errors do not provide conclusive root causes, functional consultants deploy standard system diagnostic utilities: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1440"/>
            <w:shd w:fill="003366"/>
            <w:tcMar>
              <w:top w:w="100" w:type="dxa"/>
              <w:bottom w:w="100" w:type="dxa"/>
              <w:left w:w="120" w:type="dxa"/>
              <w:right w:w="120" w:type="dxa"/>
            </w:tcMar>
          </w:tcPr>
          <w:p>
            <w:pPr>
              <w:spacing w:before="0" w:after="0" w:line="252" w:lineRule="auto"/>
            </w:pPr>
            <w:r>
              <w:rPr>
                <w:rFonts w:ascii="Arial" w:hAnsi="Arial"/>
                <w:b/>
                <w:color w:val="FFFFFF"/>
                <w:sz w:val="18"/>
              </w:rPr>
              <w:t>T-Code</w:t>
            </w:r>
          </w:p>
        </w:tc>
        <w:tc>
          <w:tcPr>
            <w:tcW w:type="dxa" w:w="3168"/>
            <w:shd w:fill="003366"/>
            <w:tcMar>
              <w:top w:w="100" w:type="dxa"/>
              <w:bottom w:w="100" w:type="dxa"/>
              <w:left w:w="120" w:type="dxa"/>
              <w:right w:w="120" w:type="dxa"/>
            </w:tcMar>
          </w:tcPr>
          <w:p>
            <w:pPr>
              <w:spacing w:before="0" w:after="0" w:line="252" w:lineRule="auto"/>
            </w:pPr>
            <w:r>
              <w:rPr>
                <w:rFonts w:ascii="Arial" w:hAnsi="Arial"/>
                <w:b/>
                <w:color w:val="FFFFFF"/>
                <w:sz w:val="18"/>
              </w:rPr>
              <w:t>Diagnostic Tool Name</w:t>
            </w:r>
          </w:p>
        </w:tc>
        <w:tc>
          <w:tcPr>
            <w:tcW w:type="dxa" w:w="4752"/>
            <w:shd w:fill="003366"/>
            <w:tcMar>
              <w:top w:w="100" w:type="dxa"/>
              <w:bottom w:w="100" w:type="dxa"/>
              <w:left w:w="120" w:type="dxa"/>
              <w:right w:w="120" w:type="dxa"/>
            </w:tcMar>
          </w:tcPr>
          <w:p>
            <w:pPr>
              <w:spacing w:before="0" w:after="0" w:line="252" w:lineRule="auto"/>
            </w:pPr>
            <w:r>
              <w:rPr>
                <w:rFonts w:ascii="Arial" w:hAnsi="Arial"/>
                <w:b/>
                <w:color w:val="FFFFFF"/>
                <w:sz w:val="18"/>
              </w:rPr>
              <w:t>Technical Usage &amp; Investigation Focus</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ST22</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ABAP Dump Analysis</w:t>
            </w:r>
          </w:p>
        </w:tc>
        <w:tc>
          <w:tcPr>
            <w:tcW w:type="dxa" w:w="4752"/>
            <w:shd w:fill="FFFFFF"/>
            <w:tcMar>
              <w:top w:w="70" w:type="dxa"/>
              <w:bottom w:w="70" w:type="dxa"/>
              <w:left w:w="120" w:type="dxa"/>
              <w:right w:w="120" w:type="dxa"/>
            </w:tcMar>
          </w:tcPr>
          <w:p>
            <w:pPr>
              <w:spacing w:before="0" w:after="0" w:line="264" w:lineRule="auto"/>
            </w:pPr>
            <w:r>
              <w:rPr>
                <w:rFonts w:ascii="Arial" w:hAnsi="Arial"/>
                <w:color w:val="1E293B"/>
                <w:sz w:val="17"/>
              </w:rPr>
              <w:t>Investigates fatal runtime crashes, exceptions, and exact failing source code line numbers.</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SM21</w:t>
            </w:r>
          </w:p>
        </w:tc>
        <w:tc>
          <w:tcPr>
            <w:tcW w:type="dxa" w:w="3168"/>
            <w:shd w:fill="F8FAFC"/>
            <w:tcMar>
              <w:top w:w="70" w:type="dxa"/>
              <w:bottom w:w="70" w:type="dxa"/>
              <w:left w:w="120" w:type="dxa"/>
              <w:right w:w="120" w:type="dxa"/>
            </w:tcMar>
          </w:tcPr>
          <w:p>
            <w:pPr>
              <w:spacing w:before="0" w:after="0" w:line="264" w:lineRule="auto"/>
            </w:pPr>
            <w:r>
              <w:rPr>
                <w:rFonts w:ascii="Arial" w:hAnsi="Arial"/>
                <w:color w:val="1E293B"/>
                <w:sz w:val="17"/>
              </w:rPr>
              <w:t>System Log</w:t>
            </w:r>
          </w:p>
        </w:tc>
        <w:tc>
          <w:tcPr>
            <w:tcW w:type="dxa" w:w="4752"/>
            <w:shd w:fill="F8FAFC"/>
            <w:tcMar>
              <w:top w:w="70" w:type="dxa"/>
              <w:bottom w:w="70" w:type="dxa"/>
              <w:left w:w="120" w:type="dxa"/>
              <w:right w:w="120" w:type="dxa"/>
            </w:tcMar>
          </w:tcPr>
          <w:p>
            <w:pPr>
              <w:spacing w:before="0" w:after="0" w:line="264" w:lineRule="auto"/>
            </w:pPr>
            <w:r>
              <w:rPr>
                <w:rFonts w:ascii="Arial" w:hAnsi="Arial"/>
                <w:color w:val="1E293B"/>
                <w:sz w:val="17"/>
              </w:rPr>
              <w:t>Audits database connection drops, memory allocation faults, and system-wide error events.</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SM12</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Lock Entries Inspection</w:t>
            </w:r>
          </w:p>
        </w:tc>
        <w:tc>
          <w:tcPr>
            <w:tcW w:type="dxa" w:w="4752"/>
            <w:shd w:fill="FFFFFF"/>
            <w:tcMar>
              <w:top w:w="70" w:type="dxa"/>
              <w:bottom w:w="70" w:type="dxa"/>
              <w:left w:w="120" w:type="dxa"/>
              <w:right w:w="120" w:type="dxa"/>
            </w:tcMar>
          </w:tcPr>
          <w:p>
            <w:pPr>
              <w:spacing w:before="0" w:after="0" w:line="264" w:lineRule="auto"/>
            </w:pPr>
            <w:r>
              <w:rPr>
                <w:rFonts w:ascii="Arial" w:hAnsi="Arial"/>
                <w:color w:val="1E293B"/>
                <w:sz w:val="17"/>
              </w:rPr>
              <w:t>Identifies exclusive table locks blocking concurrent users; allows releasing orphaned locks.</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SM13</w:t>
            </w:r>
          </w:p>
        </w:tc>
        <w:tc>
          <w:tcPr>
            <w:tcW w:type="dxa" w:w="3168"/>
            <w:shd w:fill="F8FAFC"/>
            <w:tcMar>
              <w:top w:w="70" w:type="dxa"/>
              <w:bottom w:w="70" w:type="dxa"/>
              <w:left w:w="120" w:type="dxa"/>
              <w:right w:w="120" w:type="dxa"/>
            </w:tcMar>
          </w:tcPr>
          <w:p>
            <w:pPr>
              <w:spacing w:before="0" w:after="0" w:line="264" w:lineRule="auto"/>
            </w:pPr>
            <w:r>
              <w:rPr>
                <w:rFonts w:ascii="Arial" w:hAnsi="Arial"/>
                <w:color w:val="1E293B"/>
                <w:sz w:val="17"/>
              </w:rPr>
              <w:t>Update Task Monitor</w:t>
            </w:r>
          </w:p>
        </w:tc>
        <w:tc>
          <w:tcPr>
            <w:tcW w:type="dxa" w:w="4752"/>
            <w:shd w:fill="F8FAFC"/>
            <w:tcMar>
              <w:top w:w="70" w:type="dxa"/>
              <w:bottom w:w="70" w:type="dxa"/>
              <w:left w:w="120" w:type="dxa"/>
              <w:right w:w="120" w:type="dxa"/>
            </w:tcMar>
          </w:tcPr>
          <w:p>
            <w:pPr>
              <w:spacing w:before="0" w:after="0" w:line="264" w:lineRule="auto"/>
            </w:pPr>
            <w:r>
              <w:rPr>
                <w:rFonts w:ascii="Arial" w:hAnsi="Arial"/>
                <w:color w:val="1E293B"/>
                <w:sz w:val="17"/>
              </w:rPr>
              <w:t>Diagnoses failed asynchronous database update tasks (VBHDR) and re-triggers updates.</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SE16N</w:t>
            </w:r>
          </w:p>
        </w:tc>
        <w:tc>
          <w:tcPr>
            <w:tcW w:type="dxa" w:w="3168"/>
            <w:shd w:fill="FFFFFF"/>
            <w:tcMar>
              <w:top w:w="70" w:type="dxa"/>
              <w:bottom w:w="70" w:type="dxa"/>
              <w:left w:w="120" w:type="dxa"/>
              <w:right w:w="120" w:type="dxa"/>
            </w:tcMar>
          </w:tcPr>
          <w:p>
            <w:pPr>
              <w:spacing w:before="0" w:after="0" w:line="264" w:lineRule="auto"/>
            </w:pPr>
            <w:r>
              <w:rPr>
                <w:rFonts w:ascii="Arial" w:hAnsi="Arial"/>
                <w:color w:val="1E293B"/>
                <w:sz w:val="17"/>
              </w:rPr>
              <w:t>Table Browser</w:t>
            </w:r>
          </w:p>
        </w:tc>
        <w:tc>
          <w:tcPr>
            <w:tcW w:type="dxa" w:w="4752"/>
            <w:shd w:fill="FFFFFF"/>
            <w:tcMar>
              <w:top w:w="70" w:type="dxa"/>
              <w:bottom w:w="70" w:type="dxa"/>
              <w:left w:w="120" w:type="dxa"/>
              <w:right w:w="120" w:type="dxa"/>
            </w:tcMar>
          </w:tcPr>
          <w:p>
            <w:pPr>
              <w:spacing w:before="0" w:after="0" w:line="264" w:lineRule="auto"/>
            </w:pPr>
            <w:r>
              <w:rPr>
                <w:rFonts w:ascii="Arial" w:hAnsi="Arial"/>
                <w:color w:val="1E293B"/>
                <w:sz w:val="17"/>
              </w:rPr>
              <w:t>Direct inspection of relational database records in BKPF, BSEG, ACDOCA, and master tables.</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ST05</w:t>
            </w:r>
          </w:p>
        </w:tc>
        <w:tc>
          <w:tcPr>
            <w:tcW w:type="dxa" w:w="3168"/>
            <w:shd w:fill="F8FAFC"/>
            <w:tcMar>
              <w:top w:w="70" w:type="dxa"/>
              <w:bottom w:w="70" w:type="dxa"/>
              <w:left w:w="120" w:type="dxa"/>
              <w:right w:w="120" w:type="dxa"/>
            </w:tcMar>
          </w:tcPr>
          <w:p>
            <w:pPr>
              <w:spacing w:before="0" w:after="0" w:line="264" w:lineRule="auto"/>
            </w:pPr>
            <w:r>
              <w:rPr>
                <w:rFonts w:ascii="Arial" w:hAnsi="Arial"/>
                <w:color w:val="1E293B"/>
                <w:sz w:val="17"/>
              </w:rPr>
              <w:t>Performance SQL Trace</w:t>
            </w:r>
          </w:p>
        </w:tc>
        <w:tc>
          <w:tcPr>
            <w:tcW w:type="dxa" w:w="4752"/>
            <w:shd w:fill="F8FAFC"/>
            <w:tcMar>
              <w:top w:w="70" w:type="dxa"/>
              <w:bottom w:w="70" w:type="dxa"/>
              <w:left w:w="120" w:type="dxa"/>
              <w:right w:w="120" w:type="dxa"/>
            </w:tcMar>
          </w:tcPr>
          <w:p>
            <w:pPr>
              <w:spacing w:before="0" w:after="0" w:line="264" w:lineRule="auto"/>
            </w:pPr>
            <w:r>
              <w:rPr>
                <w:rFonts w:ascii="Arial" w:hAnsi="Arial"/>
                <w:color w:val="1E293B"/>
                <w:sz w:val="17"/>
              </w:rPr>
              <w:t>Analyzes query execution times, buffer hits, and identifies missing database indexes.</w:t>
            </w:r>
          </w:p>
        </w:tc>
      </w:tr>
    </w:tbl>
    <w:p>
      <w:pPr>
        <w:spacing w:after="80"/>
      </w:pPr>
    </w:p>
    <w:p>
      <w:pPr>
        <w:keepNext/>
        <w:spacing w:before="320" w:after="100"/>
      </w:pPr>
      <w:r>
        <w:rPr>
          <w:rFonts w:ascii="Arial" w:hAnsi="Arial"/>
          <w:b/>
          <w:color w:val="003366"/>
          <w:sz w:val="28"/>
        </w:rPr>
        <w:t>8. Root Cause Prevention &amp; Governance Best Practices</w:t>
      </w:r>
    </w:p>
    <w:p>
      <w:pPr>
        <w:spacing w:before="0" w:after="80" w:line="276" w:lineRule="auto"/>
      </w:pPr>
      <w:r>
        <w:rPr>
          <w:rFonts w:ascii="Arial" w:hAnsi="Arial"/>
          <w:color w:val="1E293B"/>
          <w:sz w:val="19"/>
        </w:rPr>
        <w:t>To establish high enterprise stability and minimize recurring helpdesk tickets:</w:t>
      </w:r>
    </w:p>
    <w:p>
      <w:pPr>
        <w:pStyle w:val="ListBullet"/>
        <w:spacing w:before="20" w:after="60" w:line="269" w:lineRule="auto"/>
      </w:pPr>
      <w:r>
        <w:rPr>
          <w:rFonts w:ascii="Arial" w:hAnsi="Arial"/>
          <w:b/>
          <w:color w:val="003366"/>
          <w:sz w:val="19"/>
        </w:rPr>
        <w:t xml:space="preserve">1. Automated Cutover Calendar Governance: </w:t>
      </w:r>
      <w:r>
        <w:rPr>
          <w:rFonts w:ascii="Arial" w:hAnsi="Arial"/>
          <w:color w:val="1E293B"/>
          <w:sz w:val="19"/>
        </w:rPr>
        <w:t>Automate the opening of posting periods (OB52) and material periods (MMPV) using scheduled background jobs to prevent first-day-of-the-month transaction rejections.</w:t>
      </w:r>
    </w:p>
    <w:p>
      <w:pPr>
        <w:pStyle w:val="ListBullet"/>
        <w:spacing w:before="20" w:after="60" w:line="269" w:lineRule="auto"/>
      </w:pPr>
      <w:r>
        <w:rPr>
          <w:rFonts w:ascii="Arial" w:hAnsi="Arial"/>
          <w:b/>
          <w:color w:val="003366"/>
          <w:sz w:val="19"/>
        </w:rPr>
        <w:t xml:space="preserve">2. Master Data Governance (SAP MDG): </w:t>
      </w:r>
      <w:r>
        <w:rPr>
          <w:rFonts w:ascii="Arial" w:hAnsi="Arial"/>
          <w:color w:val="1E293B"/>
          <w:sz w:val="19"/>
        </w:rPr>
        <w:t>Implement mandatory validation gates in master data creation workflows. Prohibit releasing G/L accounts without document splitting classification, and mandate bank/tax validation on vendor master records.</w:t>
      </w:r>
    </w:p>
    <w:p>
      <w:pPr>
        <w:pStyle w:val="ListBullet"/>
        <w:spacing w:before="20" w:after="60" w:line="269" w:lineRule="auto"/>
      </w:pPr>
      <w:r>
        <w:rPr>
          <w:rFonts w:ascii="Arial" w:hAnsi="Arial"/>
          <w:b/>
          <w:color w:val="003366"/>
          <w:sz w:val="19"/>
        </w:rPr>
        <w:t xml:space="preserve">3. Strict Transport Freeze &amp; Quality Validation: </w:t>
      </w:r>
      <w:r>
        <w:rPr>
          <w:rFonts w:ascii="Arial" w:hAnsi="Arial"/>
          <w:color w:val="1E293B"/>
          <w:sz w:val="19"/>
        </w:rPr>
        <w:t>Enforce zero configuration directly in Production. All customizing must originate in Development (DEV), undergo unit and integration testing in Quality (QAS), and be transported via documented Transport Requests.</w:t>
      </w:r>
    </w:p>
    <w:p>
      <w:pPr>
        <w:pStyle w:val="ListBullet"/>
        <w:spacing w:before="20" w:after="60" w:line="269" w:lineRule="auto"/>
      </w:pPr>
      <w:r>
        <w:rPr>
          <w:rFonts w:ascii="Arial" w:hAnsi="Arial"/>
          <w:b/>
          <w:color w:val="003366"/>
          <w:sz w:val="19"/>
        </w:rPr>
        <w:t xml:space="preserve">4. Proactive System Health Monitoring: </w:t>
      </w:r>
      <w:r>
        <w:rPr>
          <w:rFonts w:ascii="Arial" w:hAnsi="Arial"/>
          <w:color w:val="1E293B"/>
          <w:sz w:val="19"/>
        </w:rPr>
        <w:t>Set up automated daily alerts for failed update tasks (SM13), ABAP short dumps (ST22), and orphaned lock entries (SM12) to catch anomalies before end-users report them.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Author: Laxmi Gupta  |  SAP Consulting Intern  |  Enterprise Financial Systems Troubleshooting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SAP FICO Troubleshooting Handbook: Incidents, Diagnostics &amp; Solutions | Week 5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