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F6CBD"/>
          <w:sz w:val="20"/>
        </w:rPr>
        <w:t>CODE REVIEW SUMMARY</w:t>
      </w:r>
    </w:p>
    <w:p>
      <w:pPr>
        <w:spacing w:after="100"/>
      </w:pPr>
      <w:r>
        <w:rPr>
          <w:rFonts w:ascii="Calibri" w:hAnsi="Calibri"/>
          <w:b/>
          <w:color w:val="242424"/>
          <w:sz w:val="54"/>
        </w:rPr>
        <w:t>AITO Workflow and Huddle Generator</w:t>
      </w:r>
    </w:p>
    <w:p>
      <w:pPr>
        <w:spacing w:after="280"/>
      </w:pPr>
      <w:r>
        <w:rPr>
          <w:rFonts w:ascii="Calibri" w:hAnsi="Calibri"/>
          <w:color w:val="616161"/>
          <w:sz w:val="26"/>
        </w:rPr>
        <w:t>Implementation status through Part 17 - Generated Huddle Workspace</w:t>
      </w:r>
    </w:p>
    <w:tbl>
      <w:tblPr>
        <w:tblW w:type="dxa" w:w="9000"/>
        <w:jc w:val="left"/>
        <w:tblLayout w:type="fixed"/>
        <w:tblLook w:firstColumn="1" w:firstRow="1" w:lastColumn="0" w:lastRow="0" w:noHBand="0" w:noVBand="1" w:val="04A0"/>
        <w:tblInd w:w="120" w:type="dxa"/>
      </w:tblPr>
      <w:tblGrid>
        <w:gridCol w:w="3000"/>
        <w:gridCol w:w="3000"/>
        <w:gridCol w:w="3000"/>
      </w:tblGrid>
      <w:tr>
        <w:trPr>
          <w:tblHeader w:val="true"/>
        </w:trPr>
        <w:tc>
          <w:tcPr>
            <w:tcW w:type="dxa" w:w="3000"/>
            <w:tcMar>
              <w:top w:w="90" w:type="dxa"/>
              <w:start w:w="120" w:type="dxa"/>
              <w:bottom w:w="90" w:type="dxa"/>
              <w:end w:w="120" w:type="dxa"/>
            </w:tcMar>
            <w:vAlign w:val="center"/>
            <w:shd w:fill="F5F9FF"/>
          </w:tcPr>
          <w:p>
            <w:pPr>
              <w:spacing w:after="40"/>
            </w:pPr>
            <w:r>
              <w:rPr>
                <w:b/>
                <w:color w:val="0F6CBD"/>
                <w:sz w:val="16"/>
              </w:rPr>
              <w:t>REVIEW DATE</w:t>
            </w:r>
          </w:p>
          <w:p>
            <w:pPr>
              <w:spacing w:after="0"/>
            </w:pPr>
            <w:r>
              <w:rPr>
                <w:b/>
                <w:sz w:val="21"/>
              </w:rPr>
              <w:t>12 August 2026</w:t>
            </w:r>
          </w:p>
        </w:tc>
        <w:tc>
          <w:tcPr>
            <w:tcW w:type="dxa" w:w="3000"/>
            <w:tcMar>
              <w:top w:w="90" w:type="dxa"/>
              <w:start w:w="120" w:type="dxa"/>
              <w:bottom w:w="90" w:type="dxa"/>
              <w:end w:w="120" w:type="dxa"/>
            </w:tcMar>
            <w:vAlign w:val="center"/>
            <w:shd w:fill="F5F9FF"/>
          </w:tcPr>
          <w:p>
            <w:pPr>
              <w:spacing w:after="40"/>
            </w:pPr>
            <w:r>
              <w:rPr>
                <w:b/>
                <w:color w:val="0F6CBD"/>
                <w:sz w:val="16"/>
              </w:rPr>
              <w:t>PLATFORM</w:t>
            </w:r>
          </w:p>
          <w:p>
            <w:pPr>
              <w:spacing w:after="0"/>
            </w:pPr>
            <w:r>
              <w:rPr>
                <w:b/>
                <w:sz w:val="21"/>
              </w:rPr>
              <w:t>.NET 9 + React 19</w:t>
            </w:r>
          </w:p>
        </w:tc>
        <w:tc>
          <w:tcPr>
            <w:tcW w:type="dxa" w:w="3000"/>
            <w:tcMar>
              <w:top w:w="90" w:type="dxa"/>
              <w:start w:w="120" w:type="dxa"/>
              <w:bottom w:w="90" w:type="dxa"/>
              <w:end w:w="120" w:type="dxa"/>
            </w:tcMar>
            <w:vAlign w:val="center"/>
            <w:shd w:fill="F5F9FF"/>
          </w:tcPr>
          <w:p>
            <w:pPr>
              <w:spacing w:after="40"/>
            </w:pPr>
            <w:r>
              <w:rPr>
                <w:b/>
                <w:color w:val="0F6CBD"/>
                <w:sz w:val="16"/>
              </w:rPr>
              <w:t>CURRENT PHASE</w:t>
            </w:r>
          </w:p>
          <w:p>
            <w:pPr>
              <w:spacing w:after="0"/>
            </w:pPr>
            <w:r>
              <w:rPr>
                <w:b/>
                <w:sz w:val="21"/>
              </w:rPr>
              <w:t>Part 17 complete</w:t>
            </w:r>
          </w:p>
        </w:tc>
      </w:tr>
      <w:tr>
        <w:tc>
          <w:tcPr>
            <w:tcW w:type="dxa" w:w="3000"/>
            <w:tcMar>
              <w:top w:w="90" w:type="dxa"/>
              <w:start w:w="120" w:type="dxa"/>
              <w:bottom w:w="90" w:type="dxa"/>
              <w:end w:w="120" w:type="dxa"/>
            </w:tcMar>
            <w:vAlign w:val="center"/>
            <w:shd w:fill="F5F9FF"/>
          </w:tcPr>
          <w:p>
            <w:pPr>
              <w:spacing w:after="40"/>
            </w:pPr>
            <w:r>
              <w:rPr>
                <w:b/>
                <w:color w:val="0F6CBD"/>
                <w:sz w:val="16"/>
              </w:rPr>
              <w:t>BACKEND TESTS</w:t>
            </w:r>
          </w:p>
          <w:p>
            <w:pPr>
              <w:spacing w:after="0"/>
            </w:pPr>
            <w:r>
              <w:rPr>
                <w:b/>
                <w:sz w:val="21"/>
              </w:rPr>
              <w:t>37 passed</w:t>
            </w:r>
          </w:p>
        </w:tc>
        <w:tc>
          <w:tcPr>
            <w:tcW w:type="dxa" w:w="3000"/>
            <w:tcMar>
              <w:top w:w="90" w:type="dxa"/>
              <w:start w:w="120" w:type="dxa"/>
              <w:bottom w:w="90" w:type="dxa"/>
              <w:end w:w="120" w:type="dxa"/>
            </w:tcMar>
            <w:vAlign w:val="center"/>
            <w:shd w:fill="F5F9FF"/>
          </w:tcPr>
          <w:p>
            <w:pPr>
              <w:spacing w:after="40"/>
            </w:pPr>
            <w:r>
              <w:rPr>
                <w:b/>
                <w:color w:val="0F6CBD"/>
                <w:sz w:val="16"/>
              </w:rPr>
              <w:t>FRONTEND TESTS</w:t>
            </w:r>
          </w:p>
          <w:p>
            <w:pPr>
              <w:spacing w:after="0"/>
            </w:pPr>
            <w:r>
              <w:rPr>
                <w:b/>
                <w:sz w:val="21"/>
              </w:rPr>
              <w:t>7 passed</w:t>
            </w:r>
          </w:p>
        </w:tc>
        <w:tc>
          <w:tcPr>
            <w:tcW w:type="dxa" w:w="3000"/>
            <w:tcMar>
              <w:top w:w="90" w:type="dxa"/>
              <w:start w:w="120" w:type="dxa"/>
              <w:bottom w:w="90" w:type="dxa"/>
              <w:end w:w="120" w:type="dxa"/>
            </w:tcMar>
            <w:vAlign w:val="center"/>
            <w:shd w:fill="F5F9FF"/>
          </w:tcPr>
          <w:p>
            <w:pPr>
              <w:spacing w:after="40"/>
            </w:pPr>
            <w:r>
              <w:rPr>
                <w:b/>
                <w:color w:val="0F6CBD"/>
                <w:sz w:val="16"/>
              </w:rPr>
              <w:t>WORKFLOW SHARING</w:t>
            </w:r>
          </w:p>
          <w:p>
            <w:pPr>
              <w:spacing w:after="0"/>
            </w:pPr>
            <w:r>
              <w:rPr>
                <w:b/>
                <w:sz w:val="21"/>
              </w:rPr>
              <w:t>Deferred</w:t>
            </w:r>
          </w:p>
        </w:tc>
      </w:tr>
    </w:tbl>
    <w:p>
      <w:pPr>
        <w:pStyle w:val="Heading1"/>
      </w:pPr>
      <w:r>
        <w:t>1. Executive summary</w:t>
      </w:r>
    </w:p>
    <w:p>
      <w:r>
        <w:t>The application is a single authenticated experience containing two independently bounded modules: Workflow and Huddle. The Workflow module was implemented first and remains frozen for Huddle development. Parts 8-17 established a SQL-backed Huddle domain, protected catalog and user-plan APIs, an API-driven V3 catalog, a canonical presentation model, and the generated Huddle workspace.</w:t>
      </w:r>
    </w:p>
    <w:tbl>
      <w:tblPr>
        <w:tblW w:type="dxa" w:w="9000"/>
        <w:jc w:val="left"/>
        <w:tblLayout w:type="fixed"/>
        <w:tblLook w:firstColumn="1" w:firstRow="1" w:lastColumn="0" w:lastRow="0" w:noHBand="0" w:noVBand="1" w:val="04A0"/>
        <w:tblInd w:w="120" w:type="dxa"/>
      </w:tblPr>
      <w:tblGrid>
        <w:gridCol w:w="9000"/>
      </w:tblGrid>
      <w:tr>
        <w:trPr>
          <w:tblHeader w:val="true"/>
        </w:trPr>
        <w:tc>
          <w:tcPr>
            <w:tcW w:type="dxa" w:w="9000"/>
            <w:tcMar>
              <w:top w:w="90" w:type="dxa"/>
              <w:start w:w="120" w:type="dxa"/>
              <w:bottom w:w="90" w:type="dxa"/>
              <w:end w:w="120" w:type="dxa"/>
            </w:tcMar>
            <w:vAlign w:val="center"/>
            <w:shd w:fill="F5F9FF"/>
          </w:tcPr>
          <w:p>
            <w:pPr>
              <w:pStyle w:val="CodeReviewCallout"/>
            </w:pPr>
            <w:r>
              <w:rPr>
                <w:b/>
                <w:color w:val="0F6CBD"/>
              </w:rPr>
              <w:t xml:space="preserve">Current position: </w:t>
            </w:r>
            <w:r>
              <w:t>Workflow Builder and Saved Workflows are working; Workflow Sharing is intentionally deferred. Huddle catalog, voting, Weeks 6-12 recommended-path customization, canonical mapping, and the generated workspace are implemented. Persistent Huddle session progress, exports, coach booking, and final client content are not yet complete.</w:t>
            </w:r>
          </w:p>
        </w:tc>
      </w:tr>
    </w:tbl>
    <w:p>
      <w:pPr>
        <w:spacing w:after="0"/>
      </w:pPr>
    </w:p>
    <w:p>
      <w:pPr>
        <w:pStyle w:val="ListBullet"/>
      </w:pPr>
      <w:r>
        <w:t>Backend follows Clean/layered architecture with API, Application, Contracts, Domain, Infrastructure, UnitTests, and IntegrationTests projects.</w:t>
      </w:r>
    </w:p>
    <w:p>
      <w:pPr>
        <w:pStyle w:val="ListBullet"/>
      </w:pPr>
      <w:r>
        <w:t>Controllers contain routing and MediatR dispatch only; EF Core and business logic remain in handlers.</w:t>
      </w:r>
    </w:p>
    <w:p>
      <w:pPr>
        <w:pStyle w:val="ListBullet"/>
      </w:pPr>
      <w:r>
        <w:t>Frontend uses one MSAL provider, one authenticated API client, one React Query client, and Jotai only for temporary UI state.</w:t>
      </w:r>
    </w:p>
    <w:p>
      <w:pPr>
        <w:pStyle w:val="ListBullet"/>
      </w:pPr>
      <w:r>
        <w:t>Persistent data follows SQL Server -&gt; EF Core -&gt; MediatR handler -&gt; protected API -&gt; frontend API function -&gt; React Query hook -&gt; UI.</w:t>
      </w:r>
    </w:p>
    <w:p>
      <w:pPr>
        <w:pStyle w:val="ListBullet"/>
      </w:pPr>
      <w:r>
        <w:t>Missing Huddle semantic content remains null or empty and is never filled from an unrelated field.</w:t>
      </w:r>
    </w:p>
    <w:p>
      <w:pPr>
        <w:pStyle w:val="ListBullet"/>
      </w:pPr>
      <w:r>
        <w:t>The active Huddle V3 ZIP rendering is the presentation authority; its in-memory architecture is not copied.</w:t>
      </w:r>
    </w:p>
    <w:p>
      <w:pPr>
        <w:pStyle w:val="Heading1"/>
      </w:pPr>
      <w:r>
        <w:t>2. Architecture at a glance</w:t>
      </w:r>
    </w:p>
    <w:tbl>
      <w:tblPr>
        <w:tblW w:type="dxa" w:w="9000"/>
        <w:jc w:val="left"/>
        <w:tblLayout w:type="fixed"/>
        <w:tblLook w:firstColumn="1" w:firstRow="1" w:lastColumn="0" w:lastRow="0" w:noHBand="0" w:noVBand="1" w:val="04A0"/>
        <w:tblInd w:w="120" w:type="dxa"/>
      </w:tblPr>
      <w:tblGrid>
        <w:gridCol w:w="9000"/>
      </w:tblGrid>
      <w:tr>
        <w:trPr>
          <w:tblHeader w:val="true"/>
        </w:trPr>
        <w:tc>
          <w:tcPr>
            <w:tcW w:type="dxa" w:w="9000"/>
            <w:tcMar>
              <w:top w:w="90" w:type="dxa"/>
              <w:start w:w="120" w:type="dxa"/>
              <w:bottom w:w="90" w:type="dxa"/>
              <w:end w:w="120" w:type="dxa"/>
            </w:tcMar>
            <w:vAlign w:val="center"/>
            <w:shd w:fill="E8F2FF"/>
          </w:tcPr>
          <w:p>
            <w:pPr>
              <w:pStyle w:val="CodeReviewCallout"/>
            </w:pPr>
            <w:r>
              <w:rPr>
                <w:b/>
                <w:color w:val="0F6CBD"/>
              </w:rPr>
              <w:t xml:space="preserve">Runtime flow: </w:t>
            </w:r>
            <w:r>
              <w:t>Microsoft Entra ID / MSAL -&gt; bearer token -&gt; ASP.NET Core protected controller -&gt; MediatR command/query -&gt; FluentValidation -&gt; EF Core -&gt; SQL Server -&gt; response contract -&gt; authenticated frontend API client -&gt; React Query -&gt; feature UI.</w:t>
            </w:r>
          </w:p>
        </w:tc>
      </w:tr>
    </w:tbl>
    <w:p>
      <w:pPr>
        <w:spacing w:after="0"/>
      </w:pPr>
    </w:p>
    <w:p>
      <w:pPr>
        <w:pStyle w:val="Heading2"/>
      </w:pPr>
      <w:r>
        <w:t>2.1 Repository boundaries</w:t>
      </w:r>
    </w:p>
    <w:p>
      <w:pPr>
        <w:pStyle w:val="ListBullet"/>
      </w:pPr>
      <w:r>
        <w:t>database/: reviewed reference-data and Huddle seed/validation scripts for manual SSMS execution.</w:t>
      </w:r>
    </w:p>
    <w:p>
      <w:pPr>
        <w:pStyle w:val="ListBullet"/>
      </w:pPr>
      <w:r>
        <w:t>backend/: ASP.NET Core 9 solution divided into API, Application, Contracts, Domain, Infrastructure, UnitTests, and IntegrationTests.</w:t>
      </w:r>
    </w:p>
    <w:p>
      <w:pPr>
        <w:pStyle w:val="ListBullet"/>
      </w:pPr>
      <w:r>
        <w:t>frontend/: React 19, TypeScript, Vite, React Query, Jotai, MSAL, Tailwind CSS, and feature-scoped code.</w:t>
      </w:r>
    </w:p>
    <w:p>
      <w:pPr>
        <w:pStyle w:val="ListBullet"/>
      </w:pPr>
      <w:r>
        <w:t>docs/: architecture, baseline, data-contract, API, regression, responsibility, and UI-gap documentation.</w:t>
      </w:r>
    </w:p>
    <w:p>
      <w:pPr>
        <w:pStyle w:val="ListBullet"/>
      </w:pPr>
      <w:r>
        <w:t>architecture/, postman/, scripts/: supporting design, API verification, and project utilities.</w:t>
      </w:r>
    </w:p>
    <w:p>
      <w:pPr>
        <w:pStyle w:val="Heading2"/>
      </w:pPr>
      <w:r>
        <w:t>2.2 Backend responsibility model</w:t>
      </w:r>
    </w:p>
    <w:tbl>
      <w:tblPr>
        <w:tblStyle w:val="TableGrid"/>
        <w:tblW w:type="dxa" w:w="9000"/>
        <w:jc w:val="left"/>
        <w:tblLayout w:type="fixed"/>
        <w:tblLook w:firstColumn="1" w:firstRow="1" w:lastColumn="0" w:lastRow="0" w:noHBand="0" w:noVBand="1" w:val="04A0"/>
        <w:tblInd w:w="120" w:type="dxa"/>
      </w:tblPr>
      <w:tblGrid>
        <w:gridCol w:w="650"/>
        <w:gridCol w:w="2200"/>
        <w:gridCol w:w="1050"/>
        <w:gridCol w:w="5100"/>
      </w:tblGrid>
      <w:tr>
        <w:trPr>
          <w:tblHeader w:val="true"/>
        </w:trPr>
        <w:tc>
          <w:tcPr>
            <w:tcW w:type="dxa" w:w="650"/>
            <w:shd w:fill="0F6CBD"/>
            <w:tcMar>
              <w:top w:w="90" w:type="dxa"/>
              <w:start w:w="120" w:type="dxa"/>
              <w:bottom w:w="90" w:type="dxa"/>
              <w:end w:w="120" w:type="dxa"/>
            </w:tcMar>
            <w:vAlign w:val="center"/>
          </w:tcPr>
          <w:p>
            <w:r>
              <w:rPr>
                <w:b/>
                <w:color w:val="FFFFFF"/>
                <w:sz w:val="18"/>
              </w:rPr>
              <w:t>Part</w:t>
            </w:r>
          </w:p>
        </w:tc>
        <w:tc>
          <w:tcPr>
            <w:tcW w:type="dxa" w:w="2200"/>
            <w:shd w:fill="0F6CBD"/>
            <w:tcMar>
              <w:top w:w="90" w:type="dxa"/>
              <w:start w:w="120" w:type="dxa"/>
              <w:bottom w:w="90" w:type="dxa"/>
              <w:end w:w="120" w:type="dxa"/>
            </w:tcMar>
            <w:vAlign w:val="center"/>
          </w:tcPr>
          <w:p>
            <w:r>
              <w:rPr>
                <w:b/>
                <w:color w:val="FFFFFF"/>
                <w:sz w:val="18"/>
              </w:rPr>
              <w:t>Scope</w:t>
            </w:r>
          </w:p>
        </w:tc>
        <w:tc>
          <w:tcPr>
            <w:tcW w:type="dxa" w:w="1050"/>
            <w:shd w:fill="0F6CBD"/>
            <w:tcMar>
              <w:top w:w="90" w:type="dxa"/>
              <w:start w:w="120" w:type="dxa"/>
              <w:bottom w:w="90" w:type="dxa"/>
              <w:end w:w="120" w:type="dxa"/>
            </w:tcMar>
            <w:vAlign w:val="center"/>
          </w:tcPr>
          <w:p>
            <w:r>
              <w:rPr>
                <w:b/>
                <w:color w:val="FFFFFF"/>
                <w:sz w:val="18"/>
              </w:rPr>
              <w:t>Status</w:t>
            </w:r>
          </w:p>
        </w:tc>
        <w:tc>
          <w:tcPr>
            <w:tcW w:type="dxa" w:w="5100"/>
            <w:shd w:fill="0F6CBD"/>
            <w:tcMar>
              <w:top w:w="90" w:type="dxa"/>
              <w:start w:w="120" w:type="dxa"/>
              <w:bottom w:w="90" w:type="dxa"/>
              <w:end w:w="120" w:type="dxa"/>
            </w:tcMar>
            <w:vAlign w:val="center"/>
          </w:tcPr>
          <w:p>
            <w:r>
              <w:rPr>
                <w:b/>
                <w:color w:val="FFFFFF"/>
                <w:sz w:val="18"/>
              </w:rPr>
              <w:t>Review evidence</w:t>
            </w:r>
          </w:p>
        </w:tc>
      </w:tr>
      <w:tr>
        <w:tc>
          <w:tcPr>
            <w:tcW w:type="dxa" w:w="650"/>
            <w:tcMar>
              <w:top w:w="90" w:type="dxa"/>
              <w:start w:w="120" w:type="dxa"/>
              <w:bottom w:w="90" w:type="dxa"/>
              <w:end w:w="120" w:type="dxa"/>
            </w:tcMar>
            <w:vAlign w:val="center"/>
          </w:tcPr>
          <w:p>
            <w:pPr>
              <w:spacing w:after="0"/>
            </w:pPr>
            <w:r>
              <w:rPr>
                <w:sz w:val="17"/>
              </w:rPr>
              <w:t>Layer</w:t>
            </w:r>
          </w:p>
        </w:tc>
        <w:tc>
          <w:tcPr>
            <w:tcW w:type="dxa" w:w="2200"/>
            <w:tcMar>
              <w:top w:w="90" w:type="dxa"/>
              <w:start w:w="120" w:type="dxa"/>
              <w:bottom w:w="90" w:type="dxa"/>
              <w:end w:w="120" w:type="dxa"/>
            </w:tcMar>
            <w:vAlign w:val="center"/>
          </w:tcPr>
          <w:p>
            <w:pPr>
              <w:spacing w:after="0"/>
            </w:pPr>
            <w:r>
              <w:rPr>
                <w:sz w:val="17"/>
              </w:rPr>
              <w:t>API</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Protected controllers, HTTP routing, Problem Details metadata, MediatR dispatch.</w:t>
            </w:r>
          </w:p>
        </w:tc>
      </w:tr>
      <w:tr>
        <w:tc>
          <w:tcPr>
            <w:tcW w:type="dxa" w:w="650"/>
            <w:tcMar>
              <w:top w:w="90" w:type="dxa"/>
              <w:start w:w="120" w:type="dxa"/>
              <w:bottom w:w="90" w:type="dxa"/>
              <w:end w:w="120" w:type="dxa"/>
            </w:tcMar>
            <w:vAlign w:val="center"/>
          </w:tcPr>
          <w:p>
            <w:pPr>
              <w:spacing w:after="0"/>
            </w:pPr>
            <w:r>
              <w:rPr>
                <w:sz w:val="17"/>
              </w:rPr>
              <w:t>Layer</w:t>
            </w:r>
          </w:p>
        </w:tc>
        <w:tc>
          <w:tcPr>
            <w:tcW w:type="dxa" w:w="2200"/>
            <w:tcMar>
              <w:top w:w="90" w:type="dxa"/>
              <w:start w:w="120" w:type="dxa"/>
              <w:bottom w:w="90" w:type="dxa"/>
              <w:end w:w="120" w:type="dxa"/>
            </w:tcMar>
            <w:vAlign w:val="center"/>
          </w:tcPr>
          <w:p>
            <w:pPr>
              <w:spacing w:after="0"/>
            </w:pPr>
            <w:r>
              <w:rPr>
                <w:sz w:val="17"/>
              </w:rPr>
              <w:t>Application</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Queries, commands, validators, handlers, mappings, ownership and visibility rules.</w:t>
            </w:r>
          </w:p>
        </w:tc>
      </w:tr>
      <w:tr>
        <w:tc>
          <w:tcPr>
            <w:tcW w:type="dxa" w:w="650"/>
            <w:tcMar>
              <w:top w:w="90" w:type="dxa"/>
              <w:start w:w="120" w:type="dxa"/>
              <w:bottom w:w="90" w:type="dxa"/>
              <w:end w:w="120" w:type="dxa"/>
            </w:tcMar>
            <w:vAlign w:val="center"/>
          </w:tcPr>
          <w:p>
            <w:pPr>
              <w:spacing w:after="0"/>
            </w:pPr>
            <w:r>
              <w:rPr>
                <w:sz w:val="17"/>
              </w:rPr>
              <w:t>Layer</w:t>
            </w:r>
          </w:p>
        </w:tc>
        <w:tc>
          <w:tcPr>
            <w:tcW w:type="dxa" w:w="2200"/>
            <w:tcMar>
              <w:top w:w="90" w:type="dxa"/>
              <w:start w:w="120" w:type="dxa"/>
              <w:bottom w:w="90" w:type="dxa"/>
              <w:end w:w="120" w:type="dxa"/>
            </w:tcMar>
            <w:vAlign w:val="center"/>
          </w:tcPr>
          <w:p>
            <w:pPr>
              <w:spacing w:after="0"/>
            </w:pPr>
            <w:r>
              <w:rPr>
                <w:sz w:val="17"/>
              </w:rPr>
              <w:t>Contracts</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Separate request/response contracts for Workflow and Huddle endpoints.</w:t>
            </w:r>
          </w:p>
        </w:tc>
      </w:tr>
      <w:tr>
        <w:tc>
          <w:tcPr>
            <w:tcW w:type="dxa" w:w="650"/>
            <w:tcMar>
              <w:top w:w="90" w:type="dxa"/>
              <w:start w:w="120" w:type="dxa"/>
              <w:bottom w:w="90" w:type="dxa"/>
              <w:end w:w="120" w:type="dxa"/>
            </w:tcMar>
            <w:vAlign w:val="center"/>
          </w:tcPr>
          <w:p>
            <w:pPr>
              <w:spacing w:after="0"/>
            </w:pPr>
            <w:r>
              <w:rPr>
                <w:sz w:val="17"/>
              </w:rPr>
              <w:t>Layer</w:t>
            </w:r>
          </w:p>
        </w:tc>
        <w:tc>
          <w:tcPr>
            <w:tcW w:type="dxa" w:w="2200"/>
            <w:tcMar>
              <w:top w:w="90" w:type="dxa"/>
              <w:start w:w="120" w:type="dxa"/>
              <w:bottom w:w="90" w:type="dxa"/>
              <w:end w:w="120" w:type="dxa"/>
            </w:tcMar>
            <w:vAlign w:val="center"/>
          </w:tcPr>
          <w:p>
            <w:pPr>
              <w:spacing w:after="0"/>
            </w:pPr>
            <w:r>
              <w:rPr>
                <w:sz w:val="17"/>
              </w:rPr>
              <w:t>Domain</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Workflow aggregates plus separately named Huddle catalog and user-owned aggregates.</w:t>
            </w:r>
          </w:p>
        </w:tc>
      </w:tr>
      <w:tr>
        <w:tc>
          <w:tcPr>
            <w:tcW w:type="dxa" w:w="650"/>
            <w:tcMar>
              <w:top w:w="90" w:type="dxa"/>
              <w:start w:w="120" w:type="dxa"/>
              <w:bottom w:w="90" w:type="dxa"/>
              <w:end w:w="120" w:type="dxa"/>
            </w:tcMar>
            <w:vAlign w:val="center"/>
          </w:tcPr>
          <w:p>
            <w:pPr>
              <w:spacing w:after="0"/>
            </w:pPr>
            <w:r>
              <w:rPr>
                <w:sz w:val="17"/>
              </w:rPr>
              <w:t>Layer</w:t>
            </w:r>
          </w:p>
        </w:tc>
        <w:tc>
          <w:tcPr>
            <w:tcW w:type="dxa" w:w="2200"/>
            <w:tcMar>
              <w:top w:w="90" w:type="dxa"/>
              <w:start w:w="120" w:type="dxa"/>
              <w:bottom w:w="90" w:type="dxa"/>
              <w:end w:w="120" w:type="dxa"/>
            </w:tcMar>
            <w:vAlign w:val="center"/>
          </w:tcPr>
          <w:p>
            <w:pPr>
              <w:spacing w:after="0"/>
            </w:pPr>
            <w:r>
              <w:rPr>
                <w:sz w:val="17"/>
              </w:rPr>
              <w:t>Infrastructure</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ApplicationDbContext, EF configurations, SQL Server, authentication infrastructure.</w:t>
            </w:r>
          </w:p>
        </w:tc>
      </w:tr>
    </w:tbl>
    <w:p>
      <w:pPr>
        <w:pStyle w:val="Heading1"/>
      </w:pPr>
      <w:r>
        <w:t>3. Authentication, authorization, and shared infrastructure</w:t>
      </w:r>
    </w:p>
    <w:p>
      <w:pPr>
        <w:pStyle w:val="ListBullet"/>
      </w:pPr>
      <w:r>
        <w:t>Microsoft Entra ID authentication is handled by MSAL in the frontend and JWT bearer authentication in the API.</w:t>
      </w:r>
    </w:p>
    <w:p>
      <w:pPr>
        <w:pStyle w:val="ListBullet"/>
      </w:pPr>
      <w:r>
        <w:t>Protected APIs use the existing access_as_user policy; Huddle does not introduce a second authentication path.</w:t>
      </w:r>
    </w:p>
    <w:p>
      <w:pPr>
        <w:pStyle w:val="ListBullet"/>
      </w:pPr>
      <w:r>
        <w:t>The authenticated oid claim determines Workflow ownership and Huddle plan/vote ownership. OwnerObjectId is never accepted from Huddle clients.</w:t>
      </w:r>
    </w:p>
    <w:p>
      <w:pPr>
        <w:pStyle w:val="ListBullet"/>
      </w:pPr>
      <w:r>
        <w:t>The centralized frontend API client attaches bearer tokens and supports GET, POST, PUT, DELETE, and PATCH.</w:t>
      </w:r>
    </w:p>
    <w:p>
      <w:pPr>
        <w:pStyle w:val="ListBullet"/>
      </w:pPr>
      <w:r>
        <w:t>Exception middleware maps validation to 400, missing identity claims to 401, forbidden access to 403, not found to 404, duplicate/concurrency conflicts to 409, and unexpected failures to 500.</w:t>
      </w:r>
    </w:p>
    <w:p>
      <w:pPr>
        <w:pStyle w:val="ListBullet"/>
      </w:pPr>
      <w:r>
        <w:t>Protected frontend routes share the existing application layout and authentication guard.</w:t>
      </w:r>
    </w:p>
    <w:p>
      <w:pPr>
        <w:pStyle w:val="Heading1"/>
      </w:pPr>
      <w:r>
        <w:t>4. Implementation status by phase</w:t>
      </w:r>
    </w:p>
    <w:tbl>
      <w:tblPr>
        <w:tblStyle w:val="TableGrid"/>
        <w:tblW w:type="dxa" w:w="9000"/>
        <w:jc w:val="left"/>
        <w:tblLayout w:type="fixed"/>
        <w:tblLook w:firstColumn="1" w:firstRow="1" w:lastColumn="0" w:lastRow="0" w:noHBand="0" w:noVBand="1" w:val="04A0"/>
        <w:tblInd w:w="120" w:type="dxa"/>
      </w:tblPr>
      <w:tblGrid>
        <w:gridCol w:w="650"/>
        <w:gridCol w:w="2200"/>
        <w:gridCol w:w="1050"/>
        <w:gridCol w:w="5100"/>
      </w:tblGrid>
      <w:tr>
        <w:trPr>
          <w:tblHeader w:val="true"/>
        </w:trPr>
        <w:tc>
          <w:tcPr>
            <w:tcW w:type="dxa" w:w="650"/>
            <w:shd w:fill="0F6CBD"/>
            <w:tcMar>
              <w:top w:w="90" w:type="dxa"/>
              <w:start w:w="120" w:type="dxa"/>
              <w:bottom w:w="90" w:type="dxa"/>
              <w:end w:w="120" w:type="dxa"/>
            </w:tcMar>
            <w:vAlign w:val="center"/>
          </w:tcPr>
          <w:p>
            <w:r>
              <w:rPr>
                <w:b/>
                <w:color w:val="FFFFFF"/>
                <w:sz w:val="18"/>
              </w:rPr>
              <w:t>Part</w:t>
            </w:r>
          </w:p>
        </w:tc>
        <w:tc>
          <w:tcPr>
            <w:tcW w:type="dxa" w:w="2200"/>
            <w:shd w:fill="0F6CBD"/>
            <w:tcMar>
              <w:top w:w="90" w:type="dxa"/>
              <w:start w:w="120" w:type="dxa"/>
              <w:bottom w:w="90" w:type="dxa"/>
              <w:end w:w="120" w:type="dxa"/>
            </w:tcMar>
            <w:vAlign w:val="center"/>
          </w:tcPr>
          <w:p>
            <w:r>
              <w:rPr>
                <w:b/>
                <w:color w:val="FFFFFF"/>
                <w:sz w:val="18"/>
              </w:rPr>
              <w:t>Scope</w:t>
            </w:r>
          </w:p>
        </w:tc>
        <w:tc>
          <w:tcPr>
            <w:tcW w:type="dxa" w:w="1050"/>
            <w:shd w:fill="0F6CBD"/>
            <w:tcMar>
              <w:top w:w="90" w:type="dxa"/>
              <w:start w:w="120" w:type="dxa"/>
              <w:bottom w:w="90" w:type="dxa"/>
              <w:end w:w="120" w:type="dxa"/>
            </w:tcMar>
            <w:vAlign w:val="center"/>
          </w:tcPr>
          <w:p>
            <w:r>
              <w:rPr>
                <w:b/>
                <w:color w:val="FFFFFF"/>
                <w:sz w:val="18"/>
              </w:rPr>
              <w:t>Status</w:t>
            </w:r>
          </w:p>
        </w:tc>
        <w:tc>
          <w:tcPr>
            <w:tcW w:type="dxa" w:w="5100"/>
            <w:shd w:fill="0F6CBD"/>
            <w:tcMar>
              <w:top w:w="90" w:type="dxa"/>
              <w:start w:w="120" w:type="dxa"/>
              <w:bottom w:w="90" w:type="dxa"/>
              <w:end w:w="120" w:type="dxa"/>
            </w:tcMar>
            <w:vAlign w:val="center"/>
          </w:tcPr>
          <w:p>
            <w:r>
              <w:rPr>
                <w:b/>
                <w:color w:val="FFFFFF"/>
                <w:sz w:val="18"/>
              </w:rPr>
              <w:t>Review evidence</w:t>
            </w:r>
          </w:p>
        </w:tc>
      </w:tr>
      <w:tr>
        <w:tc>
          <w:tcPr>
            <w:tcW w:type="dxa" w:w="650"/>
            <w:tcMar>
              <w:top w:w="90" w:type="dxa"/>
              <w:start w:w="120" w:type="dxa"/>
              <w:bottom w:w="90" w:type="dxa"/>
              <w:end w:w="120" w:type="dxa"/>
            </w:tcMar>
            <w:vAlign w:val="center"/>
          </w:tcPr>
          <w:p>
            <w:pPr>
              <w:spacing w:after="0"/>
            </w:pPr>
            <w:r>
              <w:rPr>
                <w:sz w:val="17"/>
              </w:rPr>
              <w:t>1-7</w:t>
            </w:r>
          </w:p>
        </w:tc>
        <w:tc>
          <w:tcPr>
            <w:tcW w:type="dxa" w:w="2200"/>
            <w:tcMar>
              <w:top w:w="90" w:type="dxa"/>
              <w:start w:w="120" w:type="dxa"/>
              <w:bottom w:w="90" w:type="dxa"/>
              <w:end w:w="120" w:type="dxa"/>
            </w:tcMar>
            <w:vAlign w:val="center"/>
          </w:tcPr>
          <w:p>
            <w:pPr>
              <w:spacing w:after="0"/>
            </w:pPr>
            <w:r>
              <w:rPr>
                <w:sz w:val="17"/>
              </w:rPr>
              <w:t>Workflow foundation and integration</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Role and segment selection, activity filtering/grouping, duration and summary, save/save-as/update/delete/favorite/restore. Sharing deferred.</w:t>
            </w:r>
          </w:p>
        </w:tc>
      </w:tr>
      <w:tr>
        <w:tc>
          <w:tcPr>
            <w:tcW w:type="dxa" w:w="650"/>
            <w:tcMar>
              <w:top w:w="90" w:type="dxa"/>
              <w:start w:w="120" w:type="dxa"/>
              <w:bottom w:w="90" w:type="dxa"/>
              <w:end w:w="120" w:type="dxa"/>
            </w:tcMar>
            <w:vAlign w:val="center"/>
          </w:tcPr>
          <w:p>
            <w:pPr>
              <w:spacing w:after="0"/>
            </w:pPr>
            <w:r>
              <w:rPr>
                <w:sz w:val="17"/>
              </w:rPr>
              <w:t>8</w:t>
            </w:r>
          </w:p>
        </w:tc>
        <w:tc>
          <w:tcPr>
            <w:tcW w:type="dxa" w:w="2200"/>
            <w:tcMar>
              <w:top w:w="90" w:type="dxa"/>
              <w:start w:w="120" w:type="dxa"/>
              <w:bottom w:w="90" w:type="dxa"/>
              <w:end w:w="120" w:type="dxa"/>
            </w:tcMar>
            <w:vAlign w:val="center"/>
          </w:tcPr>
          <w:p>
            <w:pPr>
              <w:spacing w:after="0"/>
            </w:pPr>
            <w:r>
              <w:rPr>
                <w:sz w:val="17"/>
              </w:rPr>
              <w:t>Baseline stabilization and scope freeze</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Build/test baseline, PATCH client support, mutation typing, exception mapping, Workflow regression checklist, Huddle source priority.</w:t>
            </w:r>
          </w:p>
        </w:tc>
      </w:tr>
      <w:tr>
        <w:tc>
          <w:tcPr>
            <w:tcW w:type="dxa" w:w="650"/>
            <w:tcMar>
              <w:top w:w="90" w:type="dxa"/>
              <w:start w:w="120" w:type="dxa"/>
              <w:bottom w:w="90" w:type="dxa"/>
              <w:end w:w="120" w:type="dxa"/>
            </w:tcMar>
            <w:vAlign w:val="center"/>
          </w:tcPr>
          <w:p>
            <w:pPr>
              <w:spacing w:after="0"/>
            </w:pPr>
            <w:r>
              <w:rPr>
                <w:sz w:val="17"/>
              </w:rPr>
              <w:t>9</w:t>
            </w:r>
          </w:p>
        </w:tc>
        <w:tc>
          <w:tcPr>
            <w:tcW w:type="dxa" w:w="2200"/>
            <w:tcMar>
              <w:top w:w="90" w:type="dxa"/>
              <w:start w:w="120" w:type="dxa"/>
              <w:bottom w:w="90" w:type="dxa"/>
              <w:end w:w="120" w:type="dxa"/>
            </w:tcMar>
            <w:vAlign w:val="center"/>
          </w:tcPr>
          <w:p>
            <w:pPr>
              <w:spacing w:after="0"/>
            </w:pPr>
            <w:r>
              <w:rPr>
                <w:sz w:val="17"/>
              </w:rPr>
              <w:t>Huddle discovery and canonical contract</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ZIP/workbook inventory, semantic field matrix, missing-data rules, canonical detail proposal and database-design input.</w:t>
            </w:r>
          </w:p>
        </w:tc>
      </w:tr>
      <w:tr>
        <w:tc>
          <w:tcPr>
            <w:tcW w:type="dxa" w:w="650"/>
            <w:tcMar>
              <w:top w:w="90" w:type="dxa"/>
              <w:start w:w="120" w:type="dxa"/>
              <w:bottom w:w="90" w:type="dxa"/>
              <w:end w:w="120" w:type="dxa"/>
            </w:tcMar>
            <w:vAlign w:val="center"/>
          </w:tcPr>
          <w:p>
            <w:pPr>
              <w:spacing w:after="0"/>
            </w:pPr>
            <w:r>
              <w:rPr>
                <w:sz w:val="17"/>
              </w:rPr>
              <w:t>10</w:t>
            </w:r>
          </w:p>
        </w:tc>
        <w:tc>
          <w:tcPr>
            <w:tcW w:type="dxa" w:w="2200"/>
            <w:tcMar>
              <w:top w:w="90" w:type="dxa"/>
              <w:start w:w="120" w:type="dxa"/>
              <w:bottom w:w="90" w:type="dxa"/>
              <w:end w:w="120" w:type="dxa"/>
            </w:tcMar>
            <w:vAlign w:val="center"/>
          </w:tcPr>
          <w:p>
            <w:pPr>
              <w:spacing w:after="0"/>
            </w:pPr>
            <w:r>
              <w:rPr>
                <w:sz w:val="17"/>
              </w:rPr>
              <w:t>Huddle domain and EF schema</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Separate catalog and user-owned entities, relationships, constraints, row versions, audit timestamps, EF model tests. Migration generation remains manual.</w:t>
            </w:r>
          </w:p>
        </w:tc>
      </w:tr>
      <w:tr>
        <w:tc>
          <w:tcPr>
            <w:tcW w:type="dxa" w:w="650"/>
            <w:tcMar>
              <w:top w:w="90" w:type="dxa"/>
              <w:start w:w="120" w:type="dxa"/>
              <w:bottom w:w="90" w:type="dxa"/>
              <w:end w:w="120" w:type="dxa"/>
            </w:tcMar>
            <w:vAlign w:val="center"/>
          </w:tcPr>
          <w:p>
            <w:pPr>
              <w:spacing w:after="0"/>
            </w:pPr>
            <w:r>
              <w:rPr>
                <w:sz w:val="17"/>
              </w:rPr>
              <w:t>11</w:t>
            </w:r>
          </w:p>
        </w:tc>
        <w:tc>
          <w:tcPr>
            <w:tcW w:type="dxa" w:w="2200"/>
            <w:tcMar>
              <w:top w:w="90" w:type="dxa"/>
              <w:start w:w="120" w:type="dxa"/>
              <w:bottom w:w="90" w:type="dxa"/>
              <w:end w:w="120" w:type="dxa"/>
            </w:tcMar>
            <w:vAlign w:val="center"/>
          </w:tcPr>
          <w:p>
            <w:pPr>
              <w:spacing w:after="0"/>
            </w:pPr>
            <w:r>
              <w:rPr>
                <w:sz w:val="17"/>
              </w:rPr>
              <w:t>Huddle seed pipeline</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Transactional, idempotent, external-ID-based SQL scripts plus validation reports and manual run order. Scripts were not executed by Codex.</w:t>
            </w:r>
          </w:p>
        </w:tc>
      </w:tr>
      <w:tr>
        <w:tc>
          <w:tcPr>
            <w:tcW w:type="dxa" w:w="650"/>
            <w:tcMar>
              <w:top w:w="90" w:type="dxa"/>
              <w:start w:w="120" w:type="dxa"/>
              <w:bottom w:w="90" w:type="dxa"/>
              <w:end w:w="120" w:type="dxa"/>
            </w:tcMar>
            <w:vAlign w:val="center"/>
          </w:tcPr>
          <w:p>
            <w:pPr>
              <w:spacing w:after="0"/>
            </w:pPr>
            <w:r>
              <w:rPr>
                <w:sz w:val="17"/>
              </w:rPr>
              <w:t>12</w:t>
            </w:r>
          </w:p>
        </w:tc>
        <w:tc>
          <w:tcPr>
            <w:tcW w:type="dxa" w:w="2200"/>
            <w:tcMar>
              <w:top w:w="90" w:type="dxa"/>
              <w:start w:w="120" w:type="dxa"/>
              <w:bottom w:w="90" w:type="dxa"/>
              <w:end w:w="120" w:type="dxa"/>
            </w:tcMar>
            <w:vAlign w:val="center"/>
          </w:tcPr>
          <w:p>
            <w:pPr>
              <w:spacing w:after="0"/>
            </w:pPr>
            <w:r>
              <w:rPr>
                <w:sz w:val="17"/>
              </w:rPr>
              <w:t>Backend Huddle catalog APIs</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Protected catalog, detail, recommended-path, vote APIs; filters, published visibility, semantic nulls, mapping and tests.</w:t>
            </w:r>
          </w:p>
        </w:tc>
      </w:tr>
      <w:tr>
        <w:tc>
          <w:tcPr>
            <w:tcW w:type="dxa" w:w="650"/>
            <w:tcMar>
              <w:top w:w="90" w:type="dxa"/>
              <w:start w:w="120" w:type="dxa"/>
              <w:bottom w:w="90" w:type="dxa"/>
              <w:end w:w="120" w:type="dxa"/>
            </w:tcMar>
            <w:vAlign w:val="center"/>
          </w:tcPr>
          <w:p>
            <w:pPr>
              <w:spacing w:after="0"/>
            </w:pPr>
            <w:r>
              <w:rPr>
                <w:sz w:val="17"/>
              </w:rPr>
              <w:t>13</w:t>
            </w:r>
          </w:p>
        </w:tc>
        <w:tc>
          <w:tcPr>
            <w:tcW w:type="dxa" w:w="2200"/>
            <w:tcMar>
              <w:top w:w="90" w:type="dxa"/>
              <w:start w:w="120" w:type="dxa"/>
              <w:bottom w:w="90" w:type="dxa"/>
              <w:end w:w="120" w:type="dxa"/>
            </w:tcMar>
            <w:vAlign w:val="center"/>
          </w:tcPr>
          <w:p>
            <w:pPr>
              <w:spacing w:after="0"/>
            </w:pPr>
            <w:r>
              <w:rPr>
                <w:sz w:val="17"/>
              </w:rPr>
              <w:t>Frontend Huddle foundation</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Feature boundary, API functions, types, React Query hooks, mappers, protected route, loading/error/retry behavior.</w:t>
            </w:r>
          </w:p>
        </w:tc>
      </w:tr>
      <w:tr>
        <w:tc>
          <w:tcPr>
            <w:tcW w:type="dxa" w:w="650"/>
            <w:tcMar>
              <w:top w:w="90" w:type="dxa"/>
              <w:start w:w="120" w:type="dxa"/>
              <w:bottom w:w="90" w:type="dxa"/>
              <w:end w:w="120" w:type="dxa"/>
            </w:tcMar>
            <w:vAlign w:val="center"/>
          </w:tcPr>
          <w:p>
            <w:pPr>
              <w:spacing w:after="0"/>
            </w:pPr>
            <w:r>
              <w:rPr>
                <w:sz w:val="17"/>
              </w:rPr>
              <w:t>14</w:t>
            </w:r>
          </w:p>
        </w:tc>
        <w:tc>
          <w:tcPr>
            <w:tcW w:type="dxa" w:w="2200"/>
            <w:tcMar>
              <w:top w:w="90" w:type="dxa"/>
              <w:start w:w="120" w:type="dxa"/>
              <w:bottom w:w="90" w:type="dxa"/>
              <w:end w:w="120" w:type="dxa"/>
            </w:tcMar>
            <w:vAlign w:val="center"/>
          </w:tcPr>
          <w:p>
            <w:pPr>
              <w:spacing w:after="0"/>
            </w:pPr>
            <w:r>
              <w:rPr>
                <w:sz w:val="17"/>
              </w:rPr>
              <w:t>V3 catalog integration</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Orientation, API-backed Role Path and Additional Topics, Microsoft-blue interaction contract, filters, voting and detail state. Removed Foundation cards stayed removed.</w:t>
            </w:r>
          </w:p>
        </w:tc>
      </w:tr>
      <w:tr>
        <w:tc>
          <w:tcPr>
            <w:tcW w:type="dxa" w:w="650"/>
            <w:tcMar>
              <w:top w:w="90" w:type="dxa"/>
              <w:start w:w="120" w:type="dxa"/>
              <w:bottom w:w="90" w:type="dxa"/>
              <w:end w:w="120" w:type="dxa"/>
            </w:tcMar>
            <w:vAlign w:val="center"/>
          </w:tcPr>
          <w:p>
            <w:pPr>
              <w:spacing w:after="0"/>
            </w:pPr>
            <w:r>
              <w:rPr>
                <w:sz w:val="17"/>
              </w:rPr>
              <w:t>15</w:t>
            </w:r>
          </w:p>
        </w:tc>
        <w:tc>
          <w:tcPr>
            <w:tcW w:type="dxa" w:w="2200"/>
            <w:tcMar>
              <w:top w:w="90" w:type="dxa"/>
              <w:start w:w="120" w:type="dxa"/>
              <w:bottom w:w="90" w:type="dxa"/>
              <w:end w:w="120" w:type="dxa"/>
            </w:tcMar>
            <w:vAlign w:val="center"/>
          </w:tcPr>
          <w:p>
            <w:pPr>
              <w:spacing w:after="0"/>
            </w:pPr>
            <w:r>
              <w:rPr>
                <w:sz w:val="17"/>
              </w:rPr>
              <w:t>Persistent recommended path</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User/role-owned plan GET/PUT/DELETE, optimistic concurrency, optimistic UI/rollback/invalidation, one-time localStorage migration.</w:t>
            </w:r>
          </w:p>
        </w:tc>
      </w:tr>
      <w:tr>
        <w:tc>
          <w:tcPr>
            <w:tcW w:type="dxa" w:w="650"/>
            <w:tcMar>
              <w:top w:w="90" w:type="dxa"/>
              <w:start w:w="120" w:type="dxa"/>
              <w:bottom w:w="90" w:type="dxa"/>
              <w:end w:w="120" w:type="dxa"/>
            </w:tcMar>
            <w:vAlign w:val="center"/>
          </w:tcPr>
          <w:p>
            <w:pPr>
              <w:spacing w:after="0"/>
            </w:pPr>
            <w:r>
              <w:rPr>
                <w:sz w:val="17"/>
              </w:rPr>
              <w:t>16</w:t>
            </w:r>
          </w:p>
        </w:tc>
        <w:tc>
          <w:tcPr>
            <w:tcW w:type="dxa" w:w="2200"/>
            <w:tcMar>
              <w:top w:w="90" w:type="dxa"/>
              <w:start w:w="120" w:type="dxa"/>
              <w:bottom w:w="90" w:type="dxa"/>
              <w:end w:w="120" w:type="dxa"/>
            </w:tcMar>
            <w:vAlign w:val="center"/>
          </w:tcPr>
          <w:p>
            <w:pPr>
              <w:spacing w:after="0"/>
            </w:pPr>
            <w:r>
              <w:rPr>
                <w:sz w:val="17"/>
              </w:rPr>
              <w:t>Canonical presentation model</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Pure typed Huddle detail mapper with stable ordering, no API/state access and no semantic substitution; 7 frontend tests.</w:t>
            </w:r>
          </w:p>
        </w:tc>
      </w:tr>
      <w:tr>
        <w:tc>
          <w:tcPr>
            <w:tcW w:type="dxa" w:w="650"/>
            <w:tcMar>
              <w:top w:w="90" w:type="dxa"/>
              <w:start w:w="120" w:type="dxa"/>
              <w:bottom w:w="90" w:type="dxa"/>
              <w:end w:w="120" w:type="dxa"/>
            </w:tcMar>
            <w:vAlign w:val="center"/>
          </w:tcPr>
          <w:p>
            <w:pPr>
              <w:spacing w:after="0"/>
            </w:pPr>
            <w:r>
              <w:rPr>
                <w:sz w:val="17"/>
              </w:rPr>
              <w:t>17</w:t>
            </w:r>
          </w:p>
        </w:tc>
        <w:tc>
          <w:tcPr>
            <w:tcW w:type="dxa" w:w="2200"/>
            <w:tcMar>
              <w:top w:w="90" w:type="dxa"/>
              <w:start w:w="120" w:type="dxa"/>
              <w:bottom w:w="90" w:type="dxa"/>
              <w:end w:w="120" w:type="dxa"/>
            </w:tcMar>
            <w:vAlign w:val="center"/>
          </w:tcPr>
          <w:p>
            <w:pPr>
              <w:spacing w:after="0"/>
            </w:pPr>
            <w:r>
              <w:rPr>
                <w:sz w:val="17"/>
              </w:rPr>
              <w:t>Generated Huddle workspace</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API-only full-screen workspace, Overview/Activities/Resources navigation, Talk Track, correct activity fields, responsive and close behavior.</w:t>
            </w:r>
          </w:p>
        </w:tc>
      </w:tr>
    </w:tbl>
    <w:p>
      <w:pPr>
        <w:pStyle w:val="Heading1"/>
      </w:pPr>
      <w:r>
        <w:t>5. Workflow module - completed baseline</w:t>
      </w:r>
    </w:p>
    <w:p>
      <w:r>
        <w:t>Workflow remains the established module and was not visually redesigned during Huddle work. The protected routes are /workflow and /workflows.</w:t>
      </w:r>
    </w:p>
    <w:p>
      <w:pPr>
        <w:pStyle w:val="Heading2"/>
      </w:pPr>
      <w:r>
        <w:t>5.1 Workflow Builder</w:t>
      </w:r>
    </w:p>
    <w:p>
      <w:pPr>
        <w:pStyle w:val="ListBullet"/>
      </w:pPr>
      <w:r>
        <w:t>Role selection and segment selection.</w:t>
      </w:r>
    </w:p>
    <w:p>
      <w:pPr>
        <w:pStyle w:val="ListBullet"/>
      </w:pPr>
      <w:r>
        <w:t>Role-aware activity filtering and Workflow bucket grouping.</w:t>
      </w:r>
    </w:p>
    <w:p>
      <w:pPr>
        <w:pStyle w:val="ListBullet"/>
      </w:pPr>
      <w:r>
        <w:t>Activity selection and removal.</w:t>
      </w:r>
    </w:p>
    <w:p>
      <w:pPr>
        <w:pStyle w:val="ListBullet"/>
      </w:pPr>
      <w:r>
        <w:t>Automatic duration calculation and Workflow summary.</w:t>
      </w:r>
    </w:p>
    <w:p>
      <w:pPr>
        <w:pStyle w:val="ListBullet"/>
      </w:pPr>
      <w:r>
        <w:t>Save Workflow and Save As behavior.</w:t>
      </w:r>
    </w:p>
    <w:p>
      <w:pPr>
        <w:pStyle w:val="ListBullet"/>
      </w:pPr>
      <w:r>
        <w:t>Shared reference-data APIs for roles, AI tools, buckets, and activities.</w:t>
      </w:r>
    </w:p>
    <w:p>
      <w:pPr>
        <w:pStyle w:val="Heading2"/>
      </w:pPr>
      <w:r>
        <w:t>5.2 Saved Workflows</w:t>
      </w:r>
    </w:p>
    <w:p>
      <w:pPr>
        <w:pStyle w:val="ListBullet"/>
      </w:pPr>
      <w:r>
        <w:t>List and favorite-only views.</w:t>
      </w:r>
    </w:p>
    <w:p>
      <w:pPr>
        <w:pStyle w:val="ListBullet"/>
      </w:pPr>
      <w:r>
        <w:t>Restore a saved Workflow into the builder.</w:t>
      </w:r>
    </w:p>
    <w:p>
      <w:pPr>
        <w:pStyle w:val="ListBullet"/>
      </w:pPr>
      <w:r>
        <w:t>Update and delete owned Workflows.</w:t>
      </w:r>
    </w:p>
    <w:p>
      <w:pPr>
        <w:pStyle w:val="ListBullet"/>
      </w:pPr>
      <w:r>
        <w:t>Favorite and unfavorite using PATCH.</w:t>
      </w:r>
    </w:p>
    <w:p>
      <w:pPr>
        <w:pStyle w:val="ListBullet"/>
      </w:pPr>
      <w:r>
        <w:t>Ownership enforcement through the authenticated oid claim.</w:t>
      </w:r>
    </w:p>
    <w:tbl>
      <w:tblPr>
        <w:tblW w:type="dxa" w:w="9000"/>
        <w:jc w:val="left"/>
        <w:tblLayout w:type="fixed"/>
        <w:tblLook w:firstColumn="1" w:firstRow="1" w:lastColumn="0" w:lastRow="0" w:noHBand="0" w:noVBand="1" w:val="04A0"/>
        <w:tblInd w:w="120" w:type="dxa"/>
      </w:tblPr>
      <w:tblGrid>
        <w:gridCol w:w="9000"/>
      </w:tblGrid>
      <w:tr>
        <w:trPr>
          <w:tblHeader w:val="true"/>
        </w:trPr>
        <w:tc>
          <w:tcPr>
            <w:tcW w:type="dxa" w:w="9000"/>
            <w:tcMar>
              <w:top w:w="90" w:type="dxa"/>
              <w:start w:w="120" w:type="dxa"/>
              <w:bottom w:w="90" w:type="dxa"/>
              <w:end w:w="120" w:type="dxa"/>
            </w:tcMar>
            <w:vAlign w:val="center"/>
            <w:shd w:fill="FFF8E8"/>
          </w:tcPr>
          <w:p>
            <w:pPr>
              <w:pStyle w:val="CodeReviewCallout"/>
            </w:pPr>
            <w:r>
              <w:rPr>
                <w:b/>
                <w:color w:val="8A5A00"/>
              </w:rPr>
              <w:t xml:space="preserve">Deliberate exclusion: </w:t>
            </w:r>
            <w:r>
              <w:t>Workflow Sharing has not been implemented. Existing Workflow UI and behavior should remain unchanged while Huddle development continues.</w:t>
            </w:r>
          </w:p>
        </w:tc>
      </w:tr>
    </w:tbl>
    <w:p>
      <w:pPr>
        <w:spacing w:after="0"/>
      </w:pPr>
    </w:p>
    <w:p>
      <w:pPr>
        <w:pStyle w:val="Heading1"/>
      </w:pPr>
      <w:r>
        <w:t>6. Huddle domain and database design</w:t>
      </w:r>
    </w:p>
    <w:p>
      <w:pPr>
        <w:pStyle w:val="Heading2"/>
      </w:pPr>
      <w:r>
        <w:t>6.1 Catalog/reference entities</w:t>
      </w:r>
    </w:p>
    <w:p>
      <w:pPr>
        <w:pStyle w:val="ListBullet"/>
      </w:pPr>
      <w:r>
        <w:t>HuddleSegment, HuddleSegmentRole, HuddleFocusArea, HuddleMcemStage.</w:t>
      </w:r>
    </w:p>
    <w:p>
      <w:pPr>
        <w:pStyle w:val="ListBullet"/>
      </w:pPr>
      <w:r>
        <w:t>HuddleTopic, HuddleTopicRole, HuddleRolePathItem, HuddleTopicMcemStage.</w:t>
      </w:r>
    </w:p>
    <w:p>
      <w:pPr>
        <w:pStyle w:val="ListBullet"/>
      </w:pPr>
      <w:r>
        <w:t>HuddlePhase, HuddleActivity, HuddleFacilitatorGuide.</w:t>
      </w:r>
    </w:p>
    <w:p>
      <w:pPr>
        <w:pStyle w:val="ListBullet"/>
      </w:pPr>
      <w:r>
        <w:t>HuddleAgent, HuddleTopicAgent, HuddleActivityAgent.</w:t>
      </w:r>
    </w:p>
    <w:p>
      <w:pPr>
        <w:pStyle w:val="ListBullet"/>
      </w:pPr>
      <w:r>
        <w:t>HuddleResource, HuddleTopicResource, HuddleActivityResource, HuddleAgentResource.</w:t>
      </w:r>
    </w:p>
    <w:p>
      <w:pPr>
        <w:pStyle w:val="Heading2"/>
      </w:pPr>
      <w:r>
        <w:t>6.2 User-owned entities</w:t>
      </w:r>
    </w:p>
    <w:p>
      <w:pPr>
        <w:pStyle w:val="ListBullet"/>
      </w:pPr>
      <w:r>
        <w:t>UserHuddlePlan and UserHuddlePlanItem for one active customized Role Path per user and role.</w:t>
      </w:r>
    </w:p>
    <w:p>
      <w:pPr>
        <w:pStyle w:val="ListBullet"/>
      </w:pPr>
      <w:r>
        <w:t>UserHuddleSession and UserHuddleActivityProgress reserved for persistent generated-session progress.</w:t>
      </w:r>
    </w:p>
    <w:p>
      <w:pPr>
        <w:pStyle w:val="ListBullet"/>
      </w:pPr>
      <w:r>
        <w:t>HuddleVote for one authenticated-user vote per topic.</w:t>
      </w:r>
    </w:p>
    <w:p>
      <w:pPr>
        <w:pStyle w:val="Heading2"/>
      </w:pPr>
      <w:r>
        <w:t>6.3 Enforced database rules</w:t>
      </w:r>
    </w:p>
    <w:p>
      <w:pPr>
        <w:pStyle w:val="ListBullet"/>
      </w:pPr>
      <w:r>
        <w:t>Stable external IDs and unique external-ID indexes.</w:t>
      </w:r>
    </w:p>
    <w:p>
      <w:pPr>
        <w:pStyle w:val="ListBullet"/>
      </w:pPr>
      <w:r>
        <w:t>Unique topic/role and topic/MCEM-stage relationships.</w:t>
      </w:r>
    </w:p>
    <w:p>
      <w:pPr>
        <w:pStyle w:val="ListBullet"/>
      </w:pPr>
      <w:r>
        <w:t>Unique plan/week placement and one plan per owner/role.</w:t>
      </w:r>
    </w:p>
    <w:p>
      <w:pPr>
        <w:pStyle w:val="ListBullet"/>
      </w:pPr>
      <w:r>
        <w:t>One vote per user/topic and supported vote values only.</w:t>
      </w:r>
    </w:p>
    <w:p>
      <w:pPr>
        <w:pStyle w:val="ListBullet"/>
      </w:pPr>
      <w:r>
        <w:t>Positive duration constraints and ordered phases/activities.</w:t>
      </w:r>
    </w:p>
    <w:p>
      <w:pPr>
        <w:pStyle w:val="ListBullet"/>
      </w:pPr>
      <w:r>
        <w:t>SQL row-version concurrency tokens on plans and sessions.</w:t>
      </w:r>
    </w:p>
    <w:p>
      <w:pPr>
        <w:pStyle w:val="ListBullet"/>
      </w:pPr>
      <w:r>
        <w:t>Restrictive deletes for referenced catalog data; cascade deletes only inside user-owned aggregates.</w:t>
      </w:r>
    </w:p>
    <w:p>
      <w:pPr>
        <w:pStyle w:val="ListBullet"/>
      </w:pPr>
      <w:r>
        <w:t>Created/updated audit timestamps.</w:t>
      </w:r>
    </w:p>
    <w:tbl>
      <w:tblPr>
        <w:tblW w:type="dxa" w:w="9000"/>
        <w:jc w:val="left"/>
        <w:tblLayout w:type="fixed"/>
        <w:tblLook w:firstColumn="1" w:firstRow="1" w:lastColumn="0" w:lastRow="0" w:noHBand="0" w:noVBand="1" w:val="04A0"/>
        <w:tblInd w:w="120" w:type="dxa"/>
      </w:tblPr>
      <w:tblGrid>
        <w:gridCol w:w="9000"/>
      </w:tblGrid>
      <w:tr>
        <w:trPr>
          <w:tblHeader w:val="true"/>
        </w:trPr>
        <w:tc>
          <w:tcPr>
            <w:tcW w:type="dxa" w:w="9000"/>
            <w:tcMar>
              <w:top w:w="90" w:type="dxa"/>
              <w:start w:w="120" w:type="dxa"/>
              <w:bottom w:w="90" w:type="dxa"/>
              <w:end w:w="120" w:type="dxa"/>
            </w:tcMar>
            <w:vAlign w:val="center"/>
            <w:shd w:fill="FFF8E8"/>
          </w:tcPr>
          <w:p>
            <w:pPr>
              <w:pStyle w:val="CodeReviewCallout"/>
            </w:pPr>
            <w:r>
              <w:rPr>
                <w:b/>
                <w:color w:val="8A5A00"/>
              </w:rPr>
              <w:t xml:space="preserve">Migration status: </w:t>
            </w:r>
            <w:r>
              <w:t>No generated Huddle EF migration file is currently present in the repository. Entity and configuration changes exist, but the developer must generate and apply the migration from Visual Studio Package Manager Console after reviewing the model.</w:t>
            </w:r>
          </w:p>
        </w:tc>
      </w:tr>
    </w:tbl>
    <w:p>
      <w:pPr>
        <w:spacing w:after="0"/>
      </w:pPr>
    </w:p>
    <w:p>
      <w:pPr>
        <w:pStyle w:val="Heading1"/>
      </w:pPr>
      <w:r>
        <w:t>7. Huddle import and seed pipeline</w:t>
      </w:r>
    </w:p>
    <w:p>
      <w:r>
        <w:t>The database/huddle folder contains manually reviewed SQL scripts. They are designed to be transactional, idempotent, external-ID based, safe to rerun, and independent of generated numeric IDs. Codex did not connect to SSMS or execute them.</w:t>
      </w:r>
    </w:p>
    <w:p>
      <w:pPr>
        <w:pStyle w:val="ListNumber"/>
      </w:pPr>
      <w:r>
        <w:t>Validate the Huddle schema.</w:t>
      </w:r>
    </w:p>
    <w:p>
      <w:pPr>
        <w:pStyle w:val="ListNumber"/>
      </w:pPr>
      <w:r>
        <w:t>Seed segments, role mappings, segment roles, focus areas, MCEM stages, agents, and resources.</w:t>
      </w:r>
    </w:p>
    <w:p>
      <w:pPr>
        <w:pStyle w:val="ListNumber"/>
      </w:pPr>
      <w:r>
        <w:t>Seed topics, topic roles, governed Role Path items, and topic/MCEM mappings.</w:t>
      </w:r>
    </w:p>
    <w:p>
      <w:pPr>
        <w:pStyle w:val="ListNumber"/>
      </w:pPr>
      <w:r>
        <w:t>Seed phases, activities, facilitator guides, agent mappings, and resource mappings.</w:t>
      </w:r>
    </w:p>
    <w:p>
      <w:pPr>
        <w:pStyle w:val="ListNumber"/>
      </w:pPr>
      <w:r>
        <w:t>Run the final import validation report.</w:t>
      </w:r>
    </w:p>
    <w:p>
      <w:pPr>
        <w:pStyle w:val="ListNumber"/>
      </w:pPr>
      <w:r>
        <w:t>Apply only the explicitly reviewed publication/presentation correction scripts needed for the current mock catalog.</w:t>
      </w:r>
    </w:p>
    <w:p>
      <w:r>
        <w:t>The validation scripts report source/insert/update/skip counts, duplicate external IDs, missing relationships, missing roles/phases/agents, invalid URLs, missing semantic fields, and incomplete records.</w:t>
      </w:r>
    </w:p>
    <w:p>
      <w:pPr>
        <w:pStyle w:val="Heading1"/>
      </w:pPr>
      <w:r>
        <w:t>8. Huddle backend APIs</w:t>
      </w:r>
    </w:p>
    <w:tbl>
      <w:tblPr>
        <w:tblStyle w:val="TableGrid"/>
        <w:tblW w:type="dxa" w:w="9000"/>
        <w:jc w:val="left"/>
        <w:tblLayout w:type="fixed"/>
        <w:tblLook w:firstColumn="1" w:firstRow="1" w:lastColumn="0" w:lastRow="0" w:noHBand="0" w:noVBand="1" w:val="04A0"/>
        <w:tblInd w:w="120" w:type="dxa"/>
      </w:tblPr>
      <w:tblGrid>
        <w:gridCol w:w="650"/>
        <w:gridCol w:w="2200"/>
        <w:gridCol w:w="1050"/>
        <w:gridCol w:w="5100"/>
      </w:tblGrid>
      <w:tr>
        <w:trPr>
          <w:tblHeader w:val="true"/>
        </w:trPr>
        <w:tc>
          <w:tcPr>
            <w:tcW w:type="dxa" w:w="650"/>
            <w:shd w:fill="0F6CBD"/>
            <w:tcMar>
              <w:top w:w="90" w:type="dxa"/>
              <w:start w:w="120" w:type="dxa"/>
              <w:bottom w:w="90" w:type="dxa"/>
              <w:end w:w="120" w:type="dxa"/>
            </w:tcMar>
            <w:vAlign w:val="center"/>
          </w:tcPr>
          <w:p>
            <w:r>
              <w:rPr>
                <w:b/>
                <w:color w:val="FFFFFF"/>
                <w:sz w:val="18"/>
              </w:rPr>
              <w:t>Part</w:t>
            </w:r>
          </w:p>
        </w:tc>
        <w:tc>
          <w:tcPr>
            <w:tcW w:type="dxa" w:w="2200"/>
            <w:shd w:fill="0F6CBD"/>
            <w:tcMar>
              <w:top w:w="90" w:type="dxa"/>
              <w:start w:w="120" w:type="dxa"/>
              <w:bottom w:w="90" w:type="dxa"/>
              <w:end w:w="120" w:type="dxa"/>
            </w:tcMar>
            <w:vAlign w:val="center"/>
          </w:tcPr>
          <w:p>
            <w:r>
              <w:rPr>
                <w:b/>
                <w:color w:val="FFFFFF"/>
                <w:sz w:val="18"/>
              </w:rPr>
              <w:t>Scope</w:t>
            </w:r>
          </w:p>
        </w:tc>
        <w:tc>
          <w:tcPr>
            <w:tcW w:type="dxa" w:w="1050"/>
            <w:shd w:fill="0F6CBD"/>
            <w:tcMar>
              <w:top w:w="90" w:type="dxa"/>
              <w:start w:w="120" w:type="dxa"/>
              <w:bottom w:w="90" w:type="dxa"/>
              <w:end w:w="120" w:type="dxa"/>
            </w:tcMar>
            <w:vAlign w:val="center"/>
          </w:tcPr>
          <w:p>
            <w:r>
              <w:rPr>
                <w:b/>
                <w:color w:val="FFFFFF"/>
                <w:sz w:val="18"/>
              </w:rPr>
              <w:t>Status</w:t>
            </w:r>
          </w:p>
        </w:tc>
        <w:tc>
          <w:tcPr>
            <w:tcW w:type="dxa" w:w="5100"/>
            <w:shd w:fill="0F6CBD"/>
            <w:tcMar>
              <w:top w:w="90" w:type="dxa"/>
              <w:start w:w="120" w:type="dxa"/>
              <w:bottom w:w="90" w:type="dxa"/>
              <w:end w:w="120" w:type="dxa"/>
            </w:tcMar>
            <w:vAlign w:val="center"/>
          </w:tcPr>
          <w:p>
            <w:r>
              <w:rPr>
                <w:b/>
                <w:color w:val="FFFFFF"/>
                <w:sz w:val="18"/>
              </w:rPr>
              <w:t>Review evidence</w:t>
            </w:r>
          </w:p>
        </w:tc>
      </w:tr>
      <w:tr>
        <w:tc>
          <w:tcPr>
            <w:tcW w:type="dxa" w:w="650"/>
            <w:tcMar>
              <w:top w:w="90" w:type="dxa"/>
              <w:start w:w="120" w:type="dxa"/>
              <w:bottom w:w="90" w:type="dxa"/>
              <w:end w:w="120" w:type="dxa"/>
            </w:tcMar>
            <w:vAlign w:val="center"/>
          </w:tcPr>
          <w:p>
            <w:pPr>
              <w:spacing w:after="0"/>
            </w:pPr>
            <w:r>
              <w:rPr>
                <w:sz w:val="17"/>
              </w:rPr>
              <w:t>GET</w:t>
            </w:r>
          </w:p>
        </w:tc>
        <w:tc>
          <w:tcPr>
            <w:tcW w:type="dxa" w:w="2200"/>
            <w:tcMar>
              <w:top w:w="90" w:type="dxa"/>
              <w:start w:w="120" w:type="dxa"/>
              <w:bottom w:w="90" w:type="dxa"/>
              <w:end w:w="120" w:type="dxa"/>
            </w:tcMar>
            <w:vAlign w:val="center"/>
          </w:tcPr>
          <w:p>
            <w:pPr>
              <w:spacing w:after="0"/>
            </w:pPr>
            <w:r>
              <w:rPr>
                <w:sz w:val="17"/>
              </w:rPr>
              <w:t>/api/huddles</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Published participant catalog with role, focus area, agent, type, search and sort filters.</w:t>
            </w:r>
          </w:p>
        </w:tc>
      </w:tr>
      <w:tr>
        <w:tc>
          <w:tcPr>
            <w:tcW w:type="dxa" w:w="650"/>
            <w:tcMar>
              <w:top w:w="90" w:type="dxa"/>
              <w:start w:w="120" w:type="dxa"/>
              <w:bottom w:w="90" w:type="dxa"/>
              <w:end w:w="120" w:type="dxa"/>
            </w:tcMar>
            <w:vAlign w:val="center"/>
          </w:tcPr>
          <w:p>
            <w:pPr>
              <w:spacing w:after="0"/>
            </w:pPr>
            <w:r>
              <w:rPr>
                <w:sz w:val="17"/>
              </w:rPr>
              <w:t>GET</w:t>
            </w:r>
          </w:p>
        </w:tc>
        <w:tc>
          <w:tcPr>
            <w:tcW w:type="dxa" w:w="2200"/>
            <w:tcMar>
              <w:top w:w="90" w:type="dxa"/>
              <w:start w:w="120" w:type="dxa"/>
              <w:bottom w:w="90" w:type="dxa"/>
              <w:end w:w="120" w:type="dxa"/>
            </w:tcMar>
            <w:vAlign w:val="center"/>
          </w:tcPr>
          <w:p>
            <w:pPr>
              <w:spacing w:after="0"/>
            </w:pPr>
            <w:r>
              <w:rPr>
                <w:sz w:val="17"/>
              </w:rPr>
              <w:t>/api/huddles/{externalId}</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Full Huddle detail with ordered phases/activities, agents, resources, facilitator guide and availability metadata.</w:t>
            </w:r>
          </w:p>
        </w:tc>
      </w:tr>
      <w:tr>
        <w:tc>
          <w:tcPr>
            <w:tcW w:type="dxa" w:w="650"/>
            <w:tcMar>
              <w:top w:w="90" w:type="dxa"/>
              <w:start w:w="120" w:type="dxa"/>
              <w:bottom w:w="90" w:type="dxa"/>
              <w:end w:w="120" w:type="dxa"/>
            </w:tcMar>
            <w:vAlign w:val="center"/>
          </w:tcPr>
          <w:p>
            <w:pPr>
              <w:spacing w:after="0"/>
            </w:pPr>
            <w:r>
              <w:rPr>
                <w:sz w:val="17"/>
              </w:rPr>
              <w:t>GET</w:t>
            </w:r>
          </w:p>
        </w:tc>
        <w:tc>
          <w:tcPr>
            <w:tcW w:type="dxa" w:w="2200"/>
            <w:tcMar>
              <w:top w:w="90" w:type="dxa"/>
              <w:start w:w="120" w:type="dxa"/>
              <w:bottom w:w="90" w:type="dxa"/>
              <w:end w:w="120" w:type="dxa"/>
            </w:tcMar>
            <w:vAlign w:val="center"/>
          </w:tcPr>
          <w:p>
            <w:pPr>
              <w:spacing w:after="0"/>
            </w:pPr>
            <w:r>
              <w:rPr>
                <w:sz w:val="17"/>
              </w:rPr>
              <w:t>/api/huddles/recommended-path</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Role validation and exactly seven unique governed topics mapped to Weeks 6-12 when configuration is sufficient.</w:t>
            </w:r>
          </w:p>
        </w:tc>
      </w:tr>
      <w:tr>
        <w:tc>
          <w:tcPr>
            <w:tcW w:type="dxa" w:w="650"/>
            <w:tcMar>
              <w:top w:w="90" w:type="dxa"/>
              <w:start w:w="120" w:type="dxa"/>
              <w:bottom w:w="90" w:type="dxa"/>
              <w:end w:w="120" w:type="dxa"/>
            </w:tcMar>
            <w:vAlign w:val="center"/>
          </w:tcPr>
          <w:p>
            <w:pPr>
              <w:spacing w:after="0"/>
            </w:pPr>
            <w:r>
              <w:rPr>
                <w:sz w:val="17"/>
              </w:rPr>
              <w:t>GET</w:t>
            </w:r>
          </w:p>
        </w:tc>
        <w:tc>
          <w:tcPr>
            <w:tcW w:type="dxa" w:w="2200"/>
            <w:tcMar>
              <w:top w:w="90" w:type="dxa"/>
              <w:start w:w="120" w:type="dxa"/>
              <w:bottom w:w="90" w:type="dxa"/>
              <w:end w:w="120" w:type="dxa"/>
            </w:tcMar>
            <w:vAlign w:val="center"/>
          </w:tcPr>
          <w:p>
            <w:pPr>
              <w:spacing w:after="0"/>
            </w:pPr>
            <w:r>
              <w:rPr>
                <w:sz w:val="17"/>
              </w:rPr>
              <w:t>/api/huddles/votes</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Authenticated user's votes and aggregate vote information.</w:t>
            </w:r>
          </w:p>
        </w:tc>
      </w:tr>
      <w:tr>
        <w:tc>
          <w:tcPr>
            <w:tcW w:type="dxa" w:w="650"/>
            <w:tcMar>
              <w:top w:w="90" w:type="dxa"/>
              <w:start w:w="120" w:type="dxa"/>
              <w:bottom w:w="90" w:type="dxa"/>
              <w:end w:w="120" w:type="dxa"/>
            </w:tcMar>
            <w:vAlign w:val="center"/>
          </w:tcPr>
          <w:p>
            <w:pPr>
              <w:spacing w:after="0"/>
            </w:pPr>
            <w:r>
              <w:rPr>
                <w:sz w:val="17"/>
              </w:rPr>
              <w:t>PUT</w:t>
            </w:r>
          </w:p>
        </w:tc>
        <w:tc>
          <w:tcPr>
            <w:tcW w:type="dxa" w:w="2200"/>
            <w:tcMar>
              <w:top w:w="90" w:type="dxa"/>
              <w:start w:w="120" w:type="dxa"/>
              <w:bottom w:w="90" w:type="dxa"/>
              <w:end w:w="120" w:type="dxa"/>
            </w:tcMar>
            <w:vAlign w:val="center"/>
          </w:tcPr>
          <w:p>
            <w:pPr>
              <w:spacing w:after="0"/>
            </w:pPr>
            <w:r>
              <w:rPr>
                <w:sz w:val="17"/>
              </w:rPr>
              <w:t>/api/huddles/{externalId}/vote</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Create/update one user vote; supports downvote reasons/comment contract.</w:t>
            </w:r>
          </w:p>
        </w:tc>
      </w:tr>
      <w:tr>
        <w:tc>
          <w:tcPr>
            <w:tcW w:type="dxa" w:w="650"/>
            <w:tcMar>
              <w:top w:w="90" w:type="dxa"/>
              <w:start w:w="120" w:type="dxa"/>
              <w:bottom w:w="90" w:type="dxa"/>
              <w:end w:w="120" w:type="dxa"/>
            </w:tcMar>
            <w:vAlign w:val="center"/>
          </w:tcPr>
          <w:p>
            <w:pPr>
              <w:spacing w:after="0"/>
            </w:pPr>
            <w:r>
              <w:rPr>
                <w:sz w:val="17"/>
              </w:rPr>
              <w:t>DELETE</w:t>
            </w:r>
          </w:p>
        </w:tc>
        <w:tc>
          <w:tcPr>
            <w:tcW w:type="dxa" w:w="2200"/>
            <w:tcMar>
              <w:top w:w="90" w:type="dxa"/>
              <w:start w:w="120" w:type="dxa"/>
              <w:bottom w:w="90" w:type="dxa"/>
              <w:end w:w="120" w:type="dxa"/>
            </w:tcMar>
            <w:vAlign w:val="center"/>
          </w:tcPr>
          <w:p>
            <w:pPr>
              <w:spacing w:after="0"/>
            </w:pPr>
            <w:r>
              <w:rPr>
                <w:sz w:val="17"/>
              </w:rPr>
              <w:t>/api/huddles/{externalId}/vote</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Remove the authenticated user's vote.</w:t>
            </w:r>
          </w:p>
        </w:tc>
      </w:tr>
      <w:tr>
        <w:tc>
          <w:tcPr>
            <w:tcW w:type="dxa" w:w="650"/>
            <w:tcMar>
              <w:top w:w="90" w:type="dxa"/>
              <w:start w:w="120" w:type="dxa"/>
              <w:bottom w:w="90" w:type="dxa"/>
              <w:end w:w="120" w:type="dxa"/>
            </w:tcMar>
            <w:vAlign w:val="center"/>
          </w:tcPr>
          <w:p>
            <w:pPr>
              <w:spacing w:after="0"/>
            </w:pPr>
            <w:r>
              <w:rPr>
                <w:sz w:val="17"/>
              </w:rPr>
              <w:t>GET</w:t>
            </w:r>
          </w:p>
        </w:tc>
        <w:tc>
          <w:tcPr>
            <w:tcW w:type="dxa" w:w="2200"/>
            <w:tcMar>
              <w:top w:w="90" w:type="dxa"/>
              <w:start w:w="120" w:type="dxa"/>
              <w:bottom w:w="90" w:type="dxa"/>
              <w:end w:w="120" w:type="dxa"/>
            </w:tcMar>
            <w:vAlign w:val="center"/>
          </w:tcPr>
          <w:p>
            <w:pPr>
              <w:spacing w:after="0"/>
            </w:pPr>
            <w:r>
              <w:rPr>
                <w:sz w:val="17"/>
              </w:rPr>
              <w:t>/api/huddle-plans/me</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Returns the authenticated user's plan for a supplied role, defaulting to the governed recommendation.</w:t>
            </w:r>
          </w:p>
        </w:tc>
      </w:tr>
      <w:tr>
        <w:tc>
          <w:tcPr>
            <w:tcW w:type="dxa" w:w="650"/>
            <w:tcMar>
              <w:top w:w="90" w:type="dxa"/>
              <w:start w:w="120" w:type="dxa"/>
              <w:bottom w:w="90" w:type="dxa"/>
              <w:end w:w="120" w:type="dxa"/>
            </w:tcMar>
            <w:vAlign w:val="center"/>
          </w:tcPr>
          <w:p>
            <w:pPr>
              <w:spacing w:after="0"/>
            </w:pPr>
            <w:r>
              <w:rPr>
                <w:sz w:val="17"/>
              </w:rPr>
              <w:t>PUT</w:t>
            </w:r>
          </w:p>
        </w:tc>
        <w:tc>
          <w:tcPr>
            <w:tcW w:type="dxa" w:w="2200"/>
            <w:tcMar>
              <w:top w:w="90" w:type="dxa"/>
              <w:start w:w="120" w:type="dxa"/>
              <w:bottom w:w="90" w:type="dxa"/>
              <w:end w:w="120" w:type="dxa"/>
            </w:tcMar>
            <w:vAlign w:val="center"/>
          </w:tcPr>
          <w:p>
            <w:pPr>
              <w:spacing w:after="0"/>
            </w:pPr>
            <w:r>
              <w:rPr>
                <w:sz w:val="17"/>
              </w:rPr>
              <w:t>/api/huddle-plans/me</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Saves the Weeks 6-12 customization with ownership and row-version concurrency.</w:t>
            </w:r>
          </w:p>
        </w:tc>
      </w:tr>
      <w:tr>
        <w:tc>
          <w:tcPr>
            <w:tcW w:type="dxa" w:w="650"/>
            <w:tcMar>
              <w:top w:w="90" w:type="dxa"/>
              <w:start w:w="120" w:type="dxa"/>
              <w:bottom w:w="90" w:type="dxa"/>
              <w:end w:w="120" w:type="dxa"/>
            </w:tcMar>
            <w:vAlign w:val="center"/>
          </w:tcPr>
          <w:p>
            <w:pPr>
              <w:spacing w:after="0"/>
            </w:pPr>
            <w:r>
              <w:rPr>
                <w:sz w:val="17"/>
              </w:rPr>
              <w:t>DELETE</w:t>
            </w:r>
          </w:p>
        </w:tc>
        <w:tc>
          <w:tcPr>
            <w:tcW w:type="dxa" w:w="2200"/>
            <w:tcMar>
              <w:top w:w="90" w:type="dxa"/>
              <w:start w:w="120" w:type="dxa"/>
              <w:bottom w:w="90" w:type="dxa"/>
              <w:end w:w="120" w:type="dxa"/>
            </w:tcMar>
            <w:vAlign w:val="center"/>
          </w:tcPr>
          <w:p>
            <w:pPr>
              <w:spacing w:after="0"/>
            </w:pPr>
            <w:r>
              <w:rPr>
                <w:sz w:val="17"/>
              </w:rPr>
              <w:t>/api/huddle-plans/me/{roleExternalId}</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Resets one role plan to the governed recommendation.</w:t>
            </w:r>
          </w:p>
        </w:tc>
      </w:tr>
    </w:tbl>
    <w:p>
      <w:pPr>
        <w:pStyle w:val="Heading2"/>
      </w:pPr>
      <w:r>
        <w:t>8.1 Recommended Path rules</w:t>
      </w:r>
    </w:p>
    <w:p>
      <w:pPr>
        <w:pStyle w:val="ListBullet"/>
      </w:pPr>
      <w:r>
        <w:t>Role is resolved by stable external ID and must be active.</w:t>
      </w:r>
    </w:p>
    <w:p>
      <w:pPr>
        <w:pStyle w:val="ListBullet"/>
      </w:pPr>
      <w:r>
        <w:t>Ordering comes from HuddleRolePathItems, not frontend arrays.</w:t>
      </w:r>
    </w:p>
    <w:p>
      <w:pPr>
        <w:pStyle w:val="ListBullet"/>
      </w:pPr>
      <w:r>
        <w:t>Duplicate topics are removed while preserving first governed occurrence.</w:t>
      </w:r>
    </w:p>
    <w:p>
      <w:pPr>
        <w:pStyle w:val="ListBullet"/>
      </w:pPr>
      <w:r>
        <w:t>Seven eligible records are displayed as Weeks 6 through 12.</w:t>
      </w:r>
    </w:p>
    <w:p>
      <w:pPr>
        <w:pStyle w:val="ListBullet"/>
      </w:pPr>
      <w:r>
        <w:t>Fewer than seven records return a clear incomplete-configuration response.</w:t>
      </w:r>
    </w:p>
    <w:p>
      <w:pPr>
        <w:pStyle w:val="ListBullet"/>
      </w:pPr>
      <w:r>
        <w:t>Primary and secondary agents are included.</w:t>
      </w:r>
    </w:p>
    <w:p>
      <w:pPr>
        <w:pStyle w:val="Heading1"/>
      </w:pPr>
      <w:r>
        <w:t>9. Huddle frontend architecture</w:t>
      </w:r>
    </w:p>
    <w:p>
      <w:pPr>
        <w:pStyle w:val="ListBullet"/>
      </w:pPr>
      <w:r>
        <w:t>api/: existing authenticated API functions; no duplicate client or token handling.</w:t>
      </w:r>
    </w:p>
    <w:p>
      <w:pPr>
        <w:pStyle w:val="ListBullet"/>
      </w:pPr>
      <w:r>
        <w:t>hooks/: React Query catalog, detail, path, plan and vote hooks with centralized query keys.</w:t>
      </w:r>
    </w:p>
    <w:p>
      <w:pPr>
        <w:pStyle w:val="ListBullet"/>
      </w:pPr>
      <w:r>
        <w:t>types/: API DTOs, V3 view models and the separate canonical presentation model.</w:t>
      </w:r>
    </w:p>
    <w:p>
      <w:pPr>
        <w:pStyle w:val="ListBullet"/>
      </w:pPr>
      <w:r>
        <w:t>mappers/: API-to-card/path mapping and the pure canonical detail-to-presentation mapper.</w:t>
      </w:r>
    </w:p>
    <w:p>
      <w:pPr>
        <w:pStyle w:val="ListBullet"/>
      </w:pPr>
      <w:r>
        <w:t>store/: Jotai atoms limited to temporary selection/view state.</w:t>
      </w:r>
    </w:p>
    <w:p>
      <w:pPr>
        <w:pStyle w:val="ListBullet"/>
      </w:pPr>
      <w:r>
        <w:t>components/: audience, catalog, generated workspace, progress/path and Talk Track boundaries.</w:t>
      </w:r>
    </w:p>
    <w:p>
      <w:pPr>
        <w:pStyle w:val="ListBullet"/>
      </w:pPr>
      <w:r>
        <w:t>pages/: protected Huddle page using the existing application layout.</w:t>
      </w:r>
    </w:p>
    <w:p>
      <w:pPr>
        <w:pStyle w:val="ListBullet"/>
      </w:pPr>
      <w:r>
        <w:t>exports/: boundary reserved for later export implementation.</w:t>
      </w:r>
    </w:p>
    <w:p>
      <w:pPr>
        <w:pStyle w:val="Heading2"/>
      </w:pPr>
      <w:r>
        <w:t>9.1 Active Huddle experience</w:t>
      </w:r>
    </w:p>
    <w:p>
      <w:pPr>
        <w:pStyle w:val="ListBullet"/>
      </w:pPr>
      <w:r>
        <w:t>Orientation is the V3 programme-introduction experience; the removed five Foundation cards are not rendered.</w:t>
      </w:r>
    </w:p>
    <w:p>
      <w:pPr>
        <w:pStyle w:val="ListBullet"/>
      </w:pPr>
      <w:r>
        <w:t>Role Path requires audience selection and loads a SQL/API-backed seven-Huddle roadmap for Weeks 6-12.</w:t>
      </w:r>
    </w:p>
    <w:p>
      <w:pPr>
        <w:pStyle w:val="ListBullet"/>
      </w:pPr>
      <w:r>
        <w:t>Additional Topics is the API-backed Prescriptive catalog with filter order Audience, Focus Area, AI Tool, Sort, Search.</w:t>
      </w:r>
    </w:p>
    <w:p>
      <w:pPr>
        <w:pStyle w:val="ListBullet"/>
      </w:pPr>
      <w:r>
        <w:t>Voting, selected state, details, path movement/replacement/reset and Microsoft-blue styling are preserved.</w:t>
      </w:r>
    </w:p>
    <w:p>
      <w:pPr>
        <w:pStyle w:val="ListBullet"/>
      </w:pPr>
      <w:r>
        <w:t>Catalog records currently used for UI development are treated as Published.</w:t>
      </w:r>
    </w:p>
    <w:p>
      <w:pPr>
        <w:pStyle w:val="Heading1"/>
      </w:pPr>
      <w:r>
        <w:t>10. Canonical presentation model</w:t>
      </w:r>
    </w:p>
    <w:p>
      <w:r>
        <w:t>Part 16 created a pure mapper that is the only input for generated workspace, future preview, Talk Track, and exports. It receives HuddleDetailResponse plus the selected audience/role and returns a stable HuddlePresentationModel.</w:t>
      </w:r>
    </w:p>
    <w:p>
      <w:pPr>
        <w:pStyle w:val="ListBullet"/>
      </w:pPr>
      <w:r>
        <w:t>No API calls, React Query access, Jotai access, authentication access, environment reads or localStorage reads.</w:t>
      </w:r>
    </w:p>
    <w:p>
      <w:pPr>
        <w:pStyle w:val="ListBullet"/>
      </w:pPr>
      <w:r>
        <w:t>Phases, activities, agents, MCEM stages and resources are stably ordered by displayOrder and externalId.</w:t>
      </w:r>
    </w:p>
    <w:p>
      <w:pPr>
        <w:pStyle w:val="ListBullet"/>
      </w:pPr>
      <w:r>
        <w:t>The input object is never mutated.</w:t>
      </w:r>
    </w:p>
    <w:p>
      <w:pPr>
        <w:pStyle w:val="ListBullet"/>
      </w:pPr>
      <w:r>
        <w:t>Today Objective maps only from todayObjective; Use Case only from useCase; Why It Matters only from whyItMatters; Desired Outcome only from desiredOutcome.</w:t>
      </w:r>
    </w:p>
    <w:p>
      <w:pPr>
        <w:pStyle w:val="ListBullet"/>
      </w:pPr>
      <w:r>
        <w:t>Activity Required Context and Best-fit Job map only from their matching activity fields.</w:t>
      </w:r>
    </w:p>
    <w:p>
      <w:pPr>
        <w:pStyle w:val="ListBullet"/>
      </w:pPr>
      <w:r>
        <w:t>Missing scalar values stay null; missing collections stay empty.</w:t>
      </w:r>
    </w:p>
    <w:p>
      <w:pPr>
        <w:pStyle w:val="Heading1"/>
      </w:pPr>
      <w:r>
        <w:t>11. Generated Huddle Workspace - Part 17</w:t>
      </w:r>
    </w:p>
    <w:p>
      <w:pPr>
        <w:pStyle w:val="ListBullet"/>
      </w:pPr>
      <w:r>
        <w:t>Entry flow: Role Path or Additional Topics selection -&gt; detail panel -&gt; Open Huddle Workspace.</w:t>
      </w:r>
    </w:p>
    <w:p>
      <w:pPr>
        <w:pStyle w:val="ListBullet"/>
      </w:pPr>
      <w:r>
        <w:t>Data flow: useHuddleById -&gt; HuddleDetailResponse -&gt; createHuddlePresentationModel -&gt; HuddleWorkspace.</w:t>
      </w:r>
    </w:p>
    <w:p>
      <w:pPr>
        <w:pStyle w:val="ListBullet"/>
      </w:pPr>
      <w:r>
        <w:t>Full-screen V3-style layout with title, type, description and Microsoft-blue controls.</w:t>
      </w:r>
    </w:p>
    <w:p>
      <w:pPr>
        <w:pStyle w:val="ListBullet"/>
      </w:pPr>
      <w:r>
        <w:t>Summary metrics for duration, phase count, activity count and unique AI-tool count.</w:t>
      </w:r>
    </w:p>
    <w:p>
      <w:pPr>
        <w:pStyle w:val="ListBullet"/>
      </w:pPr>
      <w:r>
        <w:t>Overview, Activities and Resources navigation plus collapsible phase guide.</w:t>
      </w:r>
    </w:p>
    <w:p>
      <w:pPr>
        <w:pStyle w:val="ListBullet"/>
      </w:pPr>
      <w:r>
        <w:t>API order is preserved for phases and activities.</w:t>
      </w:r>
    </w:p>
    <w:p>
      <w:pPr>
        <w:pStyle w:val="ListBullet"/>
      </w:pPr>
      <w:r>
        <w:t>Activities render only the correct name, description, duration, prompt, expected output, human checkpoint, required context, best-fit job, agents and resources.</w:t>
      </w:r>
    </w:p>
    <w:p>
      <w:pPr>
        <w:pStyle w:val="ListBullet"/>
      </w:pPr>
      <w:r>
        <w:t>Talk Track opens from API-backed facilitator-guide data and shows intentional unavailable states when absent.</w:t>
      </w:r>
    </w:p>
    <w:p>
      <w:pPr>
        <w:pStyle w:val="ListBullet"/>
      </w:pPr>
      <w:r>
        <w:t>Notes use component state only and explicitly state that they are temporary.</w:t>
      </w:r>
    </w:p>
    <w:p>
      <w:pPr>
        <w:pStyle w:val="ListBullet"/>
      </w:pPr>
      <w:r>
        <w:t>Escape, close and Exit to Huddle Library behavior are implemented with responsive desktop/mobile navigation.</w:t>
      </w:r>
    </w:p>
    <w:tbl>
      <w:tblPr>
        <w:tblW w:type="dxa" w:w="9000"/>
        <w:jc w:val="left"/>
        <w:tblLayout w:type="fixed"/>
        <w:tblLook w:firstColumn="1" w:firstRow="1" w:lastColumn="0" w:lastRow="0" w:noHBand="0" w:noVBand="1" w:val="04A0"/>
        <w:tblInd w:w="120" w:type="dxa"/>
      </w:tblPr>
      <w:tblGrid>
        <w:gridCol w:w="9000"/>
      </w:tblGrid>
      <w:tr>
        <w:trPr>
          <w:tblHeader w:val="true"/>
        </w:trPr>
        <w:tc>
          <w:tcPr>
            <w:tcW w:type="dxa" w:w="9000"/>
            <w:tcMar>
              <w:top w:w="90" w:type="dxa"/>
              <w:start w:w="120" w:type="dxa"/>
              <w:bottom w:w="90" w:type="dxa"/>
              <w:end w:w="120" w:type="dxa"/>
            </w:tcMar>
            <w:vAlign w:val="center"/>
            <w:shd w:fill="F5F9FF"/>
          </w:tcPr>
          <w:p>
            <w:pPr>
              <w:pStyle w:val="CodeReviewCallout"/>
            </w:pPr>
            <w:r>
              <w:rPr>
                <w:b/>
                <w:color w:val="0F6CBD"/>
              </w:rPr>
              <w:t xml:space="preserve">Progress safeguard: </w:t>
            </w:r>
            <w:r>
              <w:t>Save Progress and Complete Huddle remain visible but disabled. No fake completion, fake percentage, localStorage persistence, or backend session write was added in Part 17.</w:t>
            </w:r>
          </w:p>
        </w:tc>
      </w:tr>
    </w:tbl>
    <w:p>
      <w:pPr>
        <w:spacing w:after="0"/>
      </w:pPr>
    </w:p>
    <w:p>
      <w:pPr>
        <w:pStyle w:val="Heading1"/>
      </w:pPr>
      <w:r>
        <w:t>12. Semantic content and source-of-truth policy</w:t>
      </w:r>
    </w:p>
    <w:p>
      <w:pPr>
        <w:pStyle w:val="ListBullet"/>
      </w:pPr>
      <w:r>
        <w:t>SQL/API is the persistent source of truth; frontend mock arrays are not used for persistent Huddle content.</w:t>
      </w:r>
    </w:p>
    <w:p>
      <w:pPr>
        <w:pStyle w:val="ListBullet"/>
      </w:pPr>
      <w:r>
        <w:t>The V3 ZIP supplies exact presentation and approved temporary assets/content, not the production architecture.</w:t>
      </w:r>
    </w:p>
    <w:p>
      <w:pPr>
        <w:pStyle w:val="ListBullet"/>
      </w:pPr>
      <w:r>
        <w:t>The revised workbook defines the target schema and identifies fields awaiting client delivery.</w:t>
      </w:r>
    </w:p>
    <w:p>
      <w:pPr>
        <w:pStyle w:val="ListBullet"/>
      </w:pPr>
      <w:r>
        <w:t>Null fields include TodayObjective, UseCase, WhyItMatters, DesiredOutcome, BestFitJob, RequiredContext, ReflectionPrompt, CommitmentPrompt and other unsupplied fields.</w:t>
      </w:r>
    </w:p>
    <w:p>
      <w:pPr>
        <w:pStyle w:val="ListBullet"/>
      </w:pPr>
      <w:r>
        <w:t>Descriptions, KeyTakeaway and KeyInsight are never substituted into missing semantic slots.</w:t>
      </w:r>
    </w:p>
    <w:p>
      <w:pPr>
        <w:pStyle w:val="ListBullet"/>
      </w:pPr>
      <w:r>
        <w:t>Optional UI blocks are hidden or show a restrained Content unavailable state while preserving required geometry.</w:t>
      </w:r>
    </w:p>
    <w:p>
      <w:pPr>
        <w:pStyle w:val="Heading1"/>
      </w:pPr>
      <w:r>
        <w:t>13. Verification evidence</w:t>
      </w:r>
    </w:p>
    <w:tbl>
      <w:tblPr>
        <w:tblStyle w:val="TableGrid"/>
        <w:tblW w:type="dxa" w:w="9000"/>
        <w:jc w:val="left"/>
        <w:tblLayout w:type="fixed"/>
        <w:tblLook w:firstColumn="1" w:firstRow="1" w:lastColumn="0" w:lastRow="0" w:noHBand="0" w:noVBand="1" w:val="04A0"/>
        <w:tblInd w:w="120" w:type="dxa"/>
      </w:tblPr>
      <w:tblGrid>
        <w:gridCol w:w="650"/>
        <w:gridCol w:w="2200"/>
        <w:gridCol w:w="1050"/>
        <w:gridCol w:w="5100"/>
      </w:tblGrid>
      <w:tr>
        <w:trPr>
          <w:tblHeader w:val="true"/>
        </w:trPr>
        <w:tc>
          <w:tcPr>
            <w:tcW w:type="dxa" w:w="650"/>
            <w:shd w:fill="0F6CBD"/>
            <w:tcMar>
              <w:top w:w="90" w:type="dxa"/>
              <w:start w:w="120" w:type="dxa"/>
              <w:bottom w:w="90" w:type="dxa"/>
              <w:end w:w="120" w:type="dxa"/>
            </w:tcMar>
            <w:vAlign w:val="center"/>
          </w:tcPr>
          <w:p>
            <w:r>
              <w:rPr>
                <w:b/>
                <w:color w:val="FFFFFF"/>
                <w:sz w:val="18"/>
              </w:rPr>
              <w:t>Part</w:t>
            </w:r>
          </w:p>
        </w:tc>
        <w:tc>
          <w:tcPr>
            <w:tcW w:type="dxa" w:w="2200"/>
            <w:shd w:fill="0F6CBD"/>
            <w:tcMar>
              <w:top w:w="90" w:type="dxa"/>
              <w:start w:w="120" w:type="dxa"/>
              <w:bottom w:w="90" w:type="dxa"/>
              <w:end w:w="120" w:type="dxa"/>
            </w:tcMar>
            <w:vAlign w:val="center"/>
          </w:tcPr>
          <w:p>
            <w:r>
              <w:rPr>
                <w:b/>
                <w:color w:val="FFFFFF"/>
                <w:sz w:val="18"/>
              </w:rPr>
              <w:t>Scope</w:t>
            </w:r>
          </w:p>
        </w:tc>
        <w:tc>
          <w:tcPr>
            <w:tcW w:type="dxa" w:w="1050"/>
            <w:shd w:fill="0F6CBD"/>
            <w:tcMar>
              <w:top w:w="90" w:type="dxa"/>
              <w:start w:w="120" w:type="dxa"/>
              <w:bottom w:w="90" w:type="dxa"/>
              <w:end w:w="120" w:type="dxa"/>
            </w:tcMar>
            <w:vAlign w:val="center"/>
          </w:tcPr>
          <w:p>
            <w:r>
              <w:rPr>
                <w:b/>
                <w:color w:val="FFFFFF"/>
                <w:sz w:val="18"/>
              </w:rPr>
              <w:t>Status</w:t>
            </w:r>
          </w:p>
        </w:tc>
        <w:tc>
          <w:tcPr>
            <w:tcW w:type="dxa" w:w="5100"/>
            <w:shd w:fill="0F6CBD"/>
            <w:tcMar>
              <w:top w:w="90" w:type="dxa"/>
              <w:start w:w="120" w:type="dxa"/>
              <w:bottom w:w="90" w:type="dxa"/>
              <w:end w:w="120" w:type="dxa"/>
            </w:tcMar>
            <w:vAlign w:val="center"/>
          </w:tcPr>
          <w:p>
            <w:r>
              <w:rPr>
                <w:b/>
                <w:color w:val="FFFFFF"/>
                <w:sz w:val="18"/>
              </w:rPr>
              <w:t>Review evidence</w:t>
            </w:r>
          </w:p>
        </w:tc>
      </w:tr>
      <w:tr>
        <w:tc>
          <w:tcPr>
            <w:tcW w:type="dxa" w:w="650"/>
            <w:tcMar>
              <w:top w:w="90" w:type="dxa"/>
              <w:start w:w="120" w:type="dxa"/>
              <w:bottom w:w="90" w:type="dxa"/>
              <w:end w:w="120" w:type="dxa"/>
            </w:tcMar>
            <w:vAlign w:val="center"/>
          </w:tcPr>
          <w:p>
            <w:pPr>
              <w:spacing w:after="0"/>
            </w:pPr>
            <w:r>
              <w:rPr>
                <w:sz w:val="17"/>
              </w:rPr>
              <w:t>Backend</w:t>
            </w:r>
          </w:p>
        </w:tc>
        <w:tc>
          <w:tcPr>
            <w:tcW w:type="dxa" w:w="2200"/>
            <w:tcMar>
              <w:top w:w="90" w:type="dxa"/>
              <w:start w:w="120" w:type="dxa"/>
              <w:bottom w:w="90" w:type="dxa"/>
              <w:end w:w="120" w:type="dxa"/>
            </w:tcMar>
            <w:vAlign w:val="center"/>
          </w:tcPr>
          <w:p>
            <w:pPr>
              <w:spacing w:after="0"/>
            </w:pPr>
            <w:r>
              <w:rPr>
                <w:sz w:val="17"/>
              </w:rPr>
              <w:t>Unit tests</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10 passed, 0 failed, 0 skipped on 11 August 2026.</w:t>
            </w:r>
          </w:p>
        </w:tc>
      </w:tr>
      <w:tr>
        <w:tc>
          <w:tcPr>
            <w:tcW w:type="dxa" w:w="650"/>
            <w:tcMar>
              <w:top w:w="90" w:type="dxa"/>
              <w:start w:w="120" w:type="dxa"/>
              <w:bottom w:w="90" w:type="dxa"/>
              <w:end w:w="120" w:type="dxa"/>
            </w:tcMar>
            <w:vAlign w:val="center"/>
          </w:tcPr>
          <w:p>
            <w:pPr>
              <w:spacing w:after="0"/>
            </w:pPr>
            <w:r>
              <w:rPr>
                <w:sz w:val="17"/>
              </w:rPr>
              <w:t>Backend</w:t>
            </w:r>
          </w:p>
        </w:tc>
        <w:tc>
          <w:tcPr>
            <w:tcW w:type="dxa" w:w="2200"/>
            <w:tcMar>
              <w:top w:w="90" w:type="dxa"/>
              <w:start w:w="120" w:type="dxa"/>
              <w:bottom w:w="90" w:type="dxa"/>
              <w:end w:w="120" w:type="dxa"/>
            </w:tcMar>
            <w:vAlign w:val="center"/>
          </w:tcPr>
          <w:p>
            <w:pPr>
              <w:spacing w:after="0"/>
            </w:pPr>
            <w:r>
              <w:rPr>
                <w:sz w:val="17"/>
              </w:rPr>
              <w:t>Integration tests</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27 passed, 0 failed, 0 skipped on 11 August 2026.</w:t>
            </w:r>
          </w:p>
        </w:tc>
      </w:tr>
      <w:tr>
        <w:tc>
          <w:tcPr>
            <w:tcW w:type="dxa" w:w="650"/>
            <w:tcMar>
              <w:top w:w="90" w:type="dxa"/>
              <w:start w:w="120" w:type="dxa"/>
              <w:bottom w:w="90" w:type="dxa"/>
              <w:end w:w="120" w:type="dxa"/>
            </w:tcMar>
            <w:vAlign w:val="center"/>
          </w:tcPr>
          <w:p>
            <w:pPr>
              <w:spacing w:after="0"/>
            </w:pPr>
            <w:r>
              <w:rPr>
                <w:sz w:val="17"/>
              </w:rPr>
              <w:t>Frontend</w:t>
            </w:r>
          </w:p>
        </w:tc>
        <w:tc>
          <w:tcPr>
            <w:tcW w:type="dxa" w:w="2200"/>
            <w:tcMar>
              <w:top w:w="90" w:type="dxa"/>
              <w:start w:w="120" w:type="dxa"/>
              <w:bottom w:w="90" w:type="dxa"/>
              <w:end w:w="120" w:type="dxa"/>
            </w:tcMar>
            <w:vAlign w:val="center"/>
          </w:tcPr>
          <w:p>
            <w:pPr>
              <w:spacing w:after="0"/>
            </w:pPr>
            <w:r>
              <w:rPr>
                <w:sz w:val="17"/>
              </w:rPr>
              <w:t>Production build</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TypeScript project build and Vite production bundle succeeded.</w:t>
            </w:r>
          </w:p>
        </w:tc>
      </w:tr>
      <w:tr>
        <w:tc>
          <w:tcPr>
            <w:tcW w:type="dxa" w:w="650"/>
            <w:tcMar>
              <w:top w:w="90" w:type="dxa"/>
              <w:start w:w="120" w:type="dxa"/>
              <w:bottom w:w="90" w:type="dxa"/>
              <w:end w:w="120" w:type="dxa"/>
            </w:tcMar>
            <w:vAlign w:val="center"/>
          </w:tcPr>
          <w:p>
            <w:pPr>
              <w:spacing w:after="0"/>
            </w:pPr>
            <w:r>
              <w:rPr>
                <w:sz w:val="17"/>
              </w:rPr>
              <w:t>Frontend</w:t>
            </w:r>
          </w:p>
        </w:tc>
        <w:tc>
          <w:tcPr>
            <w:tcW w:type="dxa" w:w="2200"/>
            <w:tcMar>
              <w:top w:w="90" w:type="dxa"/>
              <w:start w:w="120" w:type="dxa"/>
              <w:bottom w:w="90" w:type="dxa"/>
              <w:end w:w="120" w:type="dxa"/>
            </w:tcMar>
            <w:vAlign w:val="center"/>
          </w:tcPr>
          <w:p>
            <w:pPr>
              <w:spacing w:after="0"/>
            </w:pPr>
            <w:r>
              <w:rPr>
                <w:sz w:val="17"/>
              </w:rPr>
              <w:t>Mapper tests</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7 passed: complete/missing data, ordering, agents/resources, substitution and immutability.</w:t>
            </w:r>
          </w:p>
        </w:tc>
      </w:tr>
      <w:tr>
        <w:tc>
          <w:tcPr>
            <w:tcW w:type="dxa" w:w="650"/>
            <w:tcMar>
              <w:top w:w="90" w:type="dxa"/>
              <w:start w:w="120" w:type="dxa"/>
              <w:bottom w:w="90" w:type="dxa"/>
              <w:end w:w="120" w:type="dxa"/>
            </w:tcMar>
            <w:vAlign w:val="center"/>
          </w:tcPr>
          <w:p>
            <w:pPr>
              <w:spacing w:after="0"/>
            </w:pPr>
            <w:r>
              <w:rPr>
                <w:sz w:val="17"/>
              </w:rPr>
              <w:t>Part 17</w:t>
            </w:r>
          </w:p>
        </w:tc>
        <w:tc>
          <w:tcPr>
            <w:tcW w:type="dxa" w:w="2200"/>
            <w:tcMar>
              <w:top w:w="90" w:type="dxa"/>
              <w:start w:w="120" w:type="dxa"/>
              <w:bottom w:w="90" w:type="dxa"/>
              <w:end w:w="120" w:type="dxa"/>
            </w:tcMar>
            <w:vAlign w:val="center"/>
          </w:tcPr>
          <w:p>
            <w:pPr>
              <w:spacing w:after="0"/>
            </w:pPr>
            <w:r>
              <w:rPr>
                <w:sz w:val="17"/>
              </w:rPr>
              <w:t>Scoped ESLint</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Generated workspace, Talk Track, detail panel and Huddle page passed scoped lint.</w:t>
            </w:r>
          </w:p>
        </w:tc>
      </w:tr>
      <w:tr>
        <w:tc>
          <w:tcPr>
            <w:tcW w:type="dxa" w:w="650"/>
            <w:tcMar>
              <w:top w:w="90" w:type="dxa"/>
              <w:start w:w="120" w:type="dxa"/>
              <w:bottom w:w="90" w:type="dxa"/>
              <w:end w:w="120" w:type="dxa"/>
            </w:tcMar>
            <w:vAlign w:val="center"/>
          </w:tcPr>
          <w:p>
            <w:pPr>
              <w:spacing w:after="0"/>
            </w:pPr>
            <w:r>
              <w:rPr>
                <w:sz w:val="17"/>
              </w:rPr>
              <w:t>Repository</w:t>
            </w:r>
          </w:p>
        </w:tc>
        <w:tc>
          <w:tcPr>
            <w:tcW w:type="dxa" w:w="2200"/>
            <w:tcMar>
              <w:top w:w="90" w:type="dxa"/>
              <w:start w:w="120" w:type="dxa"/>
              <w:bottom w:w="90" w:type="dxa"/>
              <w:end w:w="120" w:type="dxa"/>
            </w:tcMar>
            <w:vAlign w:val="center"/>
          </w:tcPr>
          <w:p>
            <w:pPr>
              <w:spacing w:after="0"/>
            </w:pPr>
            <w:r>
              <w:rPr>
                <w:sz w:val="17"/>
              </w:rPr>
              <w:t>Workflow scope audit</w:t>
            </w:r>
          </w:p>
        </w:tc>
        <w:tc>
          <w:tcPr>
            <w:tcW w:type="dxa" w:w="1050"/>
            <w:tcMar>
              <w:top w:w="90" w:type="dxa"/>
              <w:start w:w="120" w:type="dxa"/>
              <w:bottom w:w="90" w:type="dxa"/>
              <w:end w:w="120" w:type="dxa"/>
            </w:tcMar>
            <w:vAlign w:val="center"/>
          </w:tcPr>
          <w:p>
            <w:pPr>
              <w:spacing w:after="0"/>
            </w:pPr>
            <w:r>
              <w:rPr>
                <w:b/>
                <w:color w:val="107C10"/>
                <w:sz w:val="17"/>
              </w:rPr>
              <w:t>Complete</w:t>
            </w:r>
          </w:p>
        </w:tc>
        <w:tc>
          <w:tcPr>
            <w:tcW w:type="dxa" w:w="5100"/>
            <w:tcMar>
              <w:top w:w="90" w:type="dxa"/>
              <w:start w:w="120" w:type="dxa"/>
              <w:bottom w:w="90" w:type="dxa"/>
              <w:end w:w="120" w:type="dxa"/>
            </w:tcMar>
            <w:vAlign w:val="center"/>
          </w:tcPr>
          <w:p>
            <w:pPr>
              <w:spacing w:after="0"/>
            </w:pPr>
            <w:r>
              <w:rPr>
                <w:sz w:val="17"/>
              </w:rPr>
              <w:t>No Workflow file was changed by Part 17.</w:t>
            </w:r>
          </w:p>
        </w:tc>
      </w:tr>
    </w:tbl>
    <w:p>
      <w:r>
        <w:t>Existing warnings: Vite reports a production chunk above 500 KB. The backend reports NU1510 pruning warnings for Microsoft.Extensions.Configuration.EnvironmentVariables and Microsoft.Extensions.Configuration.Json. Neither warning currently fails the build.</w:t>
      </w:r>
    </w:p>
    <w:p>
      <w:pPr>
        <w:pStyle w:val="Heading1"/>
      </w:pPr>
      <w:r>
        <w:t>14. Known limitations and remaining work</w:t>
      </w:r>
    </w:p>
    <w:p>
      <w:pPr>
        <w:pStyle w:val="ListBullet"/>
      </w:pPr>
      <w:r>
        <w:t>Generate and review the Huddle EF migration, then apply it in the intended environment using Package Manager Console.</w:t>
      </w:r>
    </w:p>
    <w:p>
      <w:pPr>
        <w:pStyle w:val="ListBullet"/>
      </w:pPr>
      <w:r>
        <w:t>Run the database/huddle scripts manually in the documented order and reconcile validation counts.</w:t>
      </w:r>
    </w:p>
    <w:p>
      <w:pPr>
        <w:pStyle w:val="ListBullet"/>
      </w:pPr>
      <w:r>
        <w:t>Replace temporary ZIP/mock catalog content when final workbook/client content is received.</w:t>
      </w:r>
    </w:p>
    <w:p>
      <w:pPr>
        <w:pStyle w:val="ListBullet"/>
      </w:pPr>
      <w:r>
        <w:t>Implement persistent UserHuddleSession and UserHuddleActivityProgress APIs and frontend hooks.</w:t>
      </w:r>
    </w:p>
    <w:p>
      <w:pPr>
        <w:pStyle w:val="ListBullet"/>
      </w:pPr>
      <w:r>
        <w:t>Enable Save Progress, completion, restore/continue learning and actual progress percentages only after session persistence exists.</w:t>
      </w:r>
    </w:p>
    <w:p>
      <w:pPr>
        <w:pStyle w:val="ListBullet"/>
      </w:pPr>
      <w:r>
        <w:t>Implement preview slides and PowerPoint/HTML exports from the canonical presentation model.</w:t>
      </w:r>
    </w:p>
    <w:p>
      <w:pPr>
        <w:pStyle w:val="ListBullet"/>
      </w:pPr>
      <w:r>
        <w:t>Implement the approved coach flow and replace any mock availability with a real integration or governed data source.</w:t>
      </w:r>
    </w:p>
    <w:p>
      <w:pPr>
        <w:pStyle w:val="ListBullet"/>
      </w:pPr>
      <w:r>
        <w:t>Perform authenticated end-to-end and responsive visual regression testing against a migrated SQL Server environment.</w:t>
      </w:r>
    </w:p>
    <w:p>
      <w:pPr>
        <w:pStyle w:val="ListBullet"/>
      </w:pPr>
      <w:r>
        <w:t>Workflow Sharing remains intentionally outside the current scope.</w:t>
      </w:r>
    </w:p>
    <w:p>
      <w:pPr>
        <w:pStyle w:val="ListBullet"/>
      </w:pPr>
      <w:r>
        <w:t>Consider production bundle code splitting after functional priorities are complete.</w:t>
      </w:r>
    </w:p>
    <w:p>
      <w:pPr>
        <w:pStyle w:val="Heading1"/>
      </w:pPr>
      <w:r>
        <w:t>15. Manager-ready review walkthrough</w:t>
      </w:r>
    </w:p>
    <w:p>
      <w:pPr>
        <w:pStyle w:val="ListNumber"/>
      </w:pPr>
      <w:r>
        <w:t>Start at the repository boundary and explain why Workflow and Huddle remain separate feature modules.</w:t>
      </w:r>
    </w:p>
    <w:p>
      <w:pPr>
        <w:pStyle w:val="ListNumber"/>
      </w:pPr>
      <w:r>
        <w:t>Show authentication once: MSAL obtains the bearer token, the shared API client attaches it, and the API derives oid ownership.</w:t>
      </w:r>
    </w:p>
    <w:p>
      <w:pPr>
        <w:pStyle w:val="ListNumber"/>
      </w:pPr>
      <w:r>
        <w:t>Demonstrate Workflow Builder and Saved Workflows as the frozen regression baseline; state that sharing is deferred.</w:t>
      </w:r>
    </w:p>
    <w:p>
      <w:pPr>
        <w:pStyle w:val="ListNumber"/>
      </w:pPr>
      <w:r>
        <w:t>Open Huddle Orientation and explain that removed Foundation cards were intentionally not restored.</w:t>
      </w:r>
    </w:p>
    <w:p>
      <w:pPr>
        <w:pStyle w:val="ListNumber"/>
      </w:pPr>
      <w:r>
        <w:t>Select an audience in Role Path and show Weeks 6-12 coming from the authenticated plan API.</w:t>
      </w:r>
    </w:p>
    <w:p>
      <w:pPr>
        <w:pStyle w:val="ListNumber"/>
      </w:pPr>
      <w:r>
        <w:t>Move or replace a Huddle, refresh the page, and explain optimistic updates plus SQL/API persistence and row-version conflict handling.</w:t>
      </w:r>
    </w:p>
    <w:p>
      <w:pPr>
        <w:pStyle w:val="ListNumber"/>
      </w:pPr>
      <w:r>
        <w:t>Open Additional Topics, demonstrate the approved filter order, search, voting and detail selection.</w:t>
      </w:r>
    </w:p>
    <w:p>
      <w:pPr>
        <w:pStyle w:val="ListNumber"/>
      </w:pPr>
      <w:r>
        <w:t>Open the generated workspace and trace one activity from SQL entity through API DTO, canonical mapper and rendered fields.</w:t>
      </w:r>
    </w:p>
    <w:p>
      <w:pPr>
        <w:pStyle w:val="ListNumber"/>
      </w:pPr>
      <w:r>
        <w:t>Show a missing field as Content unavailable and explain the no-semantic-substitution rule.</w:t>
      </w:r>
    </w:p>
    <w:p>
      <w:pPr>
        <w:pStyle w:val="ListNumber"/>
      </w:pPr>
      <w:r>
        <w:t>Close with automated test results, migration/manual SQL responsibilities, and the remaining session/export roadmap.</w:t>
      </w:r>
    </w:p>
    <w:p>
      <w:pPr>
        <w:pStyle w:val="Heading1"/>
      </w:pPr>
      <w:r>
        <w:t>16. Likely review questions and concise answers</w:t>
      </w:r>
    </w:p>
    <w:p>
      <w:pPr>
        <w:pStyle w:val="Heading2"/>
      </w:pPr>
      <w:r>
        <w:t>Why were Part 16 and Part 17 mainly frontend changes?</w:t>
      </w:r>
    </w:p>
    <w:p>
      <w:r>
        <w:t>The backend detail API already exposed every required semantic field. Part 16 created the pure presentation boundary; Part 17 consumed it. Changing the backend without a contract gap would add unnecessary risk.</w:t>
      </w:r>
    </w:p>
    <w:p>
      <w:pPr>
        <w:pStyle w:val="Heading2"/>
      </w:pPr>
      <w:r>
        <w:t>Is the Huddle UI hardcoded?</w:t>
      </w:r>
    </w:p>
    <w:p>
      <w:r>
        <w:t>Layout metadata and approved assets may be local, but catalog/detail/path/vote/plan content is read through protected APIs. The generated workspace consumes HuddleDetailResponse through the canonical mapper.</w:t>
      </w:r>
    </w:p>
    <w:p>
      <w:pPr>
        <w:pStyle w:val="Heading2"/>
      </w:pPr>
      <w:r>
        <w:t>Why is PublicationStatus present?</w:t>
      </w:r>
    </w:p>
    <w:p>
      <w:r>
        <w:t>It is a governance/visibility field used by participant queries. Current mock records can be published for UI development; final data can replace them later without changing the contract.</w:t>
      </w:r>
    </w:p>
    <w:p>
      <w:pPr>
        <w:pStyle w:val="Heading2"/>
      </w:pPr>
      <w:r>
        <w:t>Why are Save Progress and Complete disabled?</w:t>
      </w:r>
    </w:p>
    <w:p>
      <w:r>
        <w:t>Part 17 does not authorize session persistence. Keeping them disabled avoids representing unsaved or fake completion state.</w:t>
      </w:r>
    </w:p>
    <w:p>
      <w:pPr>
        <w:pStyle w:val="Heading2"/>
      </w:pPr>
      <w:r>
        <w:t>Do we need a migration now?</w:t>
      </w:r>
    </w:p>
    <w:p>
      <w:r>
        <w:t>Yes before running the Huddle schema in SQL Server, because Part 10 added Huddle entities/configurations. No generated migration is committed; it should be generated and reviewed through Package Manager Console.</w:t>
      </w:r>
    </w:p>
    <w:p>
      <w:pPr>
        <w:pStyle w:val="Heading2"/>
      </w:pPr>
      <w:r>
        <w:t>Was Workflow changed?</w:t>
      </w:r>
    </w:p>
    <w:p>
      <w:r>
        <w:t>Huddle implementation is additive. Part 17 changed only frontend Huddle files; Workflow UI and behavior remain frozen.</w:t>
      </w:r>
    </w:p>
    <w:p>
      <w:pPr>
        <w:pStyle w:val="Heading2"/>
      </w:pPr>
      <w:r>
        <w:t>How is another user's data protected?</w:t>
      </w:r>
    </w:p>
    <w:p>
      <w:r>
        <w:t>The backend derives the owner from the authenticated oid claim and never trusts an owner identifier supplied by the frontend.</w:t>
      </w:r>
    </w:p>
    <w:p>
      <w:pPr>
        <w:pStyle w:val="Heading2"/>
      </w:pPr>
      <w:r>
        <w:t>How are missing client fields handled?</w:t>
      </w:r>
    </w:p>
    <w:p>
      <w:r>
        <w:t>Optional scalars remain null, collections remain empty, and the UI hides the block or displays Content unavailable. No unrelated field is substituted.</w:t>
      </w:r>
    </w:p>
    <w:p>
      <w:pPr>
        <w:pStyle w:val="Heading1"/>
      </w:pPr>
      <w:r>
        <w:t>17. Code-review completion checklist</w:t>
      </w:r>
    </w:p>
    <w:p>
      <w:pPr>
        <w:pStyle w:val="ListBullet"/>
      </w:pPr>
      <w:r>
        <w:t>Confirm current branch and uncommitted Part 17 files are included in the review.</w:t>
      </w:r>
    </w:p>
    <w:p>
      <w:pPr>
        <w:pStyle w:val="ListBullet"/>
      </w:pPr>
      <w:r>
        <w:t>Confirm appsettings and frontend environment values contain no secrets in source control.</w:t>
      </w:r>
    </w:p>
    <w:p>
      <w:pPr>
        <w:pStyle w:val="ListBullet"/>
      </w:pPr>
      <w:r>
        <w:t>Confirm migration status and manual SSMS script responsibility with the manager.</w:t>
      </w:r>
    </w:p>
    <w:p>
      <w:pPr>
        <w:pStyle w:val="ListBullet"/>
      </w:pPr>
      <w:r>
        <w:t>Demonstrate one complete Database -&gt; API -&gt; React Query -&gt; UI Huddle slice.</w:t>
      </w:r>
    </w:p>
    <w:p>
      <w:pPr>
        <w:pStyle w:val="ListBullet"/>
      </w:pPr>
      <w:r>
        <w:t>Demonstrate one ownership-protected user plan or vote operation.</w:t>
      </w:r>
    </w:p>
    <w:p>
      <w:pPr>
        <w:pStyle w:val="ListBullet"/>
      </w:pPr>
      <w:r>
        <w:t>Show test output: 10 unit, 27 integration and 7 frontend tests passing.</w:t>
      </w:r>
    </w:p>
    <w:p>
      <w:pPr>
        <w:pStyle w:val="ListBullet"/>
      </w:pPr>
      <w:r>
        <w:t>Call out Vite bundle-size and NuGet pruning warnings as non-blocking technical debt.</w:t>
      </w:r>
    </w:p>
    <w:p>
      <w:pPr>
        <w:pStyle w:val="ListBullet"/>
      </w:pPr>
      <w:r>
        <w:t>Agree on the next approved phase: persistent Huddle sessions/progress before enabling save/complete.</w:t>
      </w:r>
    </w:p>
    <w:tbl>
      <w:tblPr>
        <w:tblW w:type="dxa" w:w="9000"/>
        <w:jc w:val="left"/>
        <w:tblLayout w:type="fixed"/>
        <w:tblLook w:firstColumn="1" w:firstRow="1" w:lastColumn="0" w:lastRow="0" w:noHBand="0" w:noVBand="1" w:val="04A0"/>
        <w:tblInd w:w="120" w:type="dxa"/>
      </w:tblPr>
      <w:tblGrid>
        <w:gridCol w:w="9000"/>
      </w:tblGrid>
      <w:tr>
        <w:trPr>
          <w:tblHeader w:val="true"/>
        </w:trPr>
        <w:tc>
          <w:tcPr>
            <w:tcW w:type="dxa" w:w="9000"/>
            <w:tcMar>
              <w:top w:w="90" w:type="dxa"/>
              <w:start w:w="120" w:type="dxa"/>
              <w:bottom w:w="90" w:type="dxa"/>
              <w:end w:w="120" w:type="dxa"/>
            </w:tcMar>
            <w:vAlign w:val="center"/>
            <w:shd w:fill="E8F2FF"/>
          </w:tcPr>
          <w:p>
            <w:pPr>
              <w:pStyle w:val="CodeReviewCallout"/>
            </w:pPr>
            <w:r>
              <w:rPr>
                <w:b/>
                <w:color w:val="0F6CBD"/>
              </w:rPr>
              <w:t xml:space="preserve">Final review statement: </w:t>
            </w:r>
            <w:r>
              <w:t>Through Part 17, the application has a stable Workflow baseline and an additive, authenticated, SQL/API-backed Huddle catalog and workspace. The architecture is ready for persistent session progress and exports without making the frontend the source of truth.</w:t>
            </w:r>
          </w:p>
        </w:tc>
      </w:tr>
    </w:tbl>
    <w:p>
      <w:pPr>
        <w:spacing w:after="0"/>
      </w:pP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6161"/>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16161"/>
        <w:sz w:val="17"/>
      </w:rPr>
      <w:t>AITO Workflow and Huddle Generator | Code Review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F6CB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F6CBD"/>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15EA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18" w:hanging="25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18" w:hanging="25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viewCallout">
    <w:name w:val="Code Review Callout"/>
    <w:pPr>
      <w:spacing w:before="0" w:after="0" w:line="269" w:lineRule="auto"/>
    </w:pPr>
    <w:rPr>
      <w:rFonts w:ascii="Calibri" w:hAnsi="Calibri"/>
      <w:color w:val="24242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AITO Workflow and Huddle Generator - Code Review Summary Through Part 17</dc:title>
  <dc:subject>Architecture, implementation status, tests, risks, and code-review walkthrough</dc:subject>
  <dc:creator>AITO Project Team</dc:creator>
  <cp:keywords>AITO, Workflow, Huddle, ASP.NET Core, React, Code Review</cp:keywords>
  <dc:description>generated by python-docx</dc:description>
  <cp:lastModifiedBy/>
  <cp:revision>1</cp:revision>
  <dcterms:created xsi:type="dcterms:W3CDTF">2013-12-23T23:15:00Z</dcterms:created>
  <dcterms:modified xsi:type="dcterms:W3CDTF">2013-12-23T23:15:00Z</dcterms:modified>
  <cp:category/>
</cp:coreProperties>
</file>