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3.png" ContentType="image/png"/>
  <Override PartName="/word/media/image1.png" ContentType="image/png"/>
  <Override PartName="/word/media/image2.svg" ContentType="image/svg+xml"/>
  <Override PartName="/word/media/image3.png" ContentType="image/png"/>
  <Override PartName="/word/media/image4.svg" ContentType="image/svg+xml"/>
  <Override PartName="/word/media/image5.png" ContentType="image/png"/>
  <Override PartName="/word/media/image6.svg" ContentType="image/svg+xml"/>
  <Override PartName="/word/media/image7.png" ContentType="image/png"/>
  <Override PartName="/word/media/image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LptPaperTitle"/>
      </w:pPr>
      <w:r>
        <w:rPr>
          <w:rFonts w:hint="eastAsia"/>
        </w:rPr>
        <w:t xml:space="preserve">适合Pandoc转Word的极简论文手稿示例</w:t>
      </w:r>
      <w:r>
        <w:t xml:space="preserve"> Minimal Manuscript Example for Pandoc-to-Word Conversion</w:t>
      </w:r>
    </w:p>
    <w:p>
      <w:pPr>
        <w:pStyle w:val="LptAuthorBlock"/>
      </w:pPr>
      <w:r>
        <w:rPr>
          <w:rFonts w:hint="eastAsia"/>
        </w:rPr>
        <w:t xml:space="preserve">张三</w:t>
      </w:r>
      <w:r>
        <w:t xml:space="preserve">    </w:t>
      </w:r>
      <w:r>
        <w:rPr>
          <w:rFonts w:hint="eastAsia"/>
        </w:rPr>
        <w:t xml:space="preserve">李四</w:t>
      </w:r>
    </w:p>
    <w:p>
      <w:pPr>
        <w:pStyle w:val="LptPaperDate"/>
      </w:pPr>
      <w:r>
        <w:t xml:space="preserve">2026-06-26</w:t>
      </w:r>
    </w:p>
    <w:p>
      <w:pPr>
        <w:pStyle w:val="LptAbstract"/>
      </w:pPr>
      <w:r>
        <w:rPr>
          <w:rFonts w:hint="eastAsia"/>
          <w:b/>
          <w:bCs/>
        </w:rPr>
        <w:t xml:space="preserve">摘要：</w:t>
      </w:r>
      <w:r>
        <w:rPr>
          <w:rFonts w:hint="eastAsia"/>
        </w:rPr>
        <w:t xml:space="preserve">本文给出一个极简LaTeX论文手稿示例，目标是在保留论文常用语义元素的同时，尽量避免复杂期刊排版命令，从而提高Pandoc转换为Word文档时的稳定性。模板包含标题、作者、摘要、关键词、章节层级、图表、公式、交叉引用和参考文献等常见内容。</w:t>
      </w:r>
      <w:r>
        <w:t xml:space="preserve"> This example provides a minimal LaTeX manuscript template. It keeps common semantic elements for academic writing while avoiding complex journal-specific layout commands, so that Pandoc can convert the manuscript to Word more reliably. The template includes the title, authors, abstract, keywords, section hierarchy, figures, tables, equations, cross references, and references.</w:t>
      </w:r>
    </w:p>
    <w:p>
      <w:pPr>
        <w:pStyle w:val="LptKeywords"/>
      </w:pPr>
      <w:r>
        <w:rPr>
          <w:rFonts w:hint="eastAsia"/>
          <w:b/>
          <w:bCs/>
        </w:rPr>
        <w:t xml:space="preserve">关键词</w:t>
      </w:r>
      <w:r>
        <w:rPr>
          <w:b/>
          <w:bCs/>
        </w:rPr>
        <w:t xml:space="preserve"> </w:t>
      </w:r>
      <w:r>
        <w:rPr>
          <w:rFonts w:hint="eastAsia"/>
          <w:b/>
          <w:bCs/>
        </w:rPr>
        <w:t xml:space="preserve">Keywords：</w:t>
      </w:r>
      <w:r>
        <w:t xml:space="preserve"> </w:t>
      </w:r>
      <w:r>
        <w:rPr>
          <w:rFonts w:hint="eastAsia"/>
        </w:rPr>
        <w:t xml:space="preserve">Pandoc；LaTeX；Word；论文手稿</w:t>
      </w:r>
      <w:r>
        <w:t xml:space="preserve"> </w:t>
      </w:r>
      <w:r>
        <w:rPr>
          <w:rFonts w:hint="eastAsia"/>
        </w:rPr>
        <w:t xml:space="preserve">Manuscript；交叉引用</w:t>
      </w:r>
      <w:r>
        <w:t xml:space="preserve"> Cross references</w:t>
      </w:r>
    </w:p>
    <w:bookmarkStart w:id="21" w:name="sec:introduction"/>
    <w:p>
      <w:pPr>
        <w:pStyle w:val="LptHeading1"/>
      </w:pPr>
      <w:r>
        <w:rPr>
          <w:rFonts w:hint="eastAsia"/>
        </w:rPr>
        <w:t xml:space="preserve">引言</w:t>
      </w:r>
      <w:r>
        <w:t xml:space="preserve"> Introduction</w:t>
      </w:r>
    </w:p>
    <w:bookmarkEnd w:id="21"/>
    <w:p>
      <w:pPr>
        <w:pStyle w:val="LptBodyText"/>
      </w:pPr>
      <w:r>
        <w:rPr>
          <w:rFonts w:hint="eastAsia"/>
        </w:rPr>
        <w:t xml:space="preserve">论文初稿通常更重视内容结构和审阅便利性，而不是期刊最终排版。为了便于转换为Word，建议手稿中优先使用标准LaTeX命令，例如章节命令、图表环境、公式环境和普通引用命令。</w:t>
      </w:r>
      <w:r>
        <w:t xml:space="preserve"> A draft manuscript usually focuses on content structure and review convenience rather than final journal layout. To make Word conversion easier, the manuscript should prefer standard LaTeX commands, including section commands, figure and table environments, equation environments, and ordinary citation commands.</w:t>
      </w:r>
    </w:p>
    <w:p>
      <w:pPr>
        <w:pStyle w:val="LptBodyText"/>
      </w:pPr>
      <w:r>
        <w:rPr>
          <w:rFonts w:hint="eastAsia"/>
        </w:rPr>
        <w:t xml:space="preserve">本文的结构如下：第</w:t>
      </w:r>
      <w:hyperlink w:anchor="sec:method">
        <w:r>
          <w:rPr>
            <w:rStyle w:val="af"/>
          </w:rPr>
          <w:t xml:space="preserve">2</w:t>
        </w:r>
      </w:hyperlink>
      <w:r>
        <w:rPr>
          <w:rFonts w:hint="eastAsia"/>
        </w:rPr>
        <w:t xml:space="preserve">节介绍基本写法，第</w:t>
      </w:r>
      <w:hyperlink w:anchor="sec:results">
        <w:r>
          <w:rPr>
            <w:rStyle w:val="af"/>
          </w:rPr>
          <w:t xml:space="preserve">3</w:t>
        </w:r>
      </w:hyperlink>
      <w:r>
        <w:rPr>
          <w:rFonts w:hint="eastAsia"/>
        </w:rPr>
        <w:t xml:space="preserve">节给出图表和公式示例，第</w:t>
      </w:r>
      <w:hyperlink w:anchor="sec:conclusion">
        <w:r>
          <w:rPr>
            <w:rStyle w:val="af"/>
          </w:rPr>
          <w:t xml:space="preserve">4</w:t>
        </w:r>
      </w:hyperlink>
      <w:r>
        <w:rPr>
          <w:rFonts w:hint="eastAsia"/>
        </w:rPr>
        <w:t xml:space="preserve">节总结使用建议。</w:t>
      </w:r>
      <w:r>
        <w:t xml:space="preserve"> The structure of this manuscript is as follows: Section</w:t>
      </w:r>
      <w:r>
        <w:t xml:space="preserve"> </w:t>
      </w:r>
      <w:hyperlink w:anchor="sec:method">
        <w:r>
          <w:rPr>
            <w:rStyle w:val="af"/>
          </w:rPr>
          <w:t xml:space="preserve">2</w:t>
        </w:r>
      </w:hyperlink>
      <w:r>
        <w:t xml:space="preserve"> </w:t>
      </w:r>
      <w:r>
        <w:t xml:space="preserve">introduces the basic writing pattern, Section</w:t>
      </w:r>
      <w:r>
        <w:t xml:space="preserve"> </w:t>
      </w:r>
      <w:hyperlink w:anchor="sec:results">
        <w:r>
          <w:rPr>
            <w:rStyle w:val="af"/>
          </w:rPr>
          <w:t xml:space="preserve">3</w:t>
        </w:r>
      </w:hyperlink>
      <w:r>
        <w:t xml:space="preserve"> </w:t>
      </w:r>
      <w:r>
        <w:t xml:space="preserve">gives examples of figures, tables, and equations, and Section</w:t>
      </w:r>
      <w:r>
        <w:t xml:space="preserve"> </w:t>
      </w:r>
      <w:hyperlink w:anchor="sec:conclusion">
        <w:r>
          <w:rPr>
            <w:rStyle w:val="af"/>
          </w:rPr>
          <w:t xml:space="preserve">4</w:t>
        </w:r>
      </w:hyperlink>
      <w:r>
        <w:t xml:space="preserve"> </w:t>
      </w:r>
      <w:r>
        <w:t xml:space="preserve">summarizes usage suggestions.</w:t>
      </w:r>
    </w:p>
    <w:bookmarkStart w:id="22" w:name="sec:method"/>
    <w:p>
      <w:pPr>
        <w:pStyle w:val="LptHeading1"/>
      </w:pPr>
      <w:r>
        <w:rPr>
          <w:rFonts w:hint="eastAsia"/>
        </w:rPr>
        <w:t xml:space="preserve">方法</w:t>
      </w:r>
      <w:r>
        <w:t xml:space="preserve"> Method</w:t>
      </w:r>
    </w:p>
    <w:bookmarkEnd w:id="22"/>
    <w:bookmarkStart w:id="23" w:name="subsec:structure"/>
    <w:p>
      <w:pPr>
        <w:pStyle w:val="LptHeading2"/>
      </w:pPr>
      <w:r>
        <w:rPr>
          <w:rFonts w:hint="eastAsia"/>
        </w:rPr>
        <w:t xml:space="preserve">手稿结构</w:t>
      </w:r>
      <w:r>
        <w:t xml:space="preserve"> Manuscript Structure</w:t>
      </w:r>
    </w:p>
    <w:bookmarkEnd w:id="23"/>
    <w:p>
      <w:pPr>
        <w:pStyle w:val="LptBodyText"/>
      </w:pPr>
      <w:r>
        <w:rPr>
          <w:rFonts w:hint="eastAsia"/>
        </w:rPr>
        <w:t xml:space="preserve">手稿结构建议保持简单。标题、作者、摘要和关键词放在正文开头；正文使用</w:t>
      </w:r>
      <w:r>
        <w:rPr>
          <w:rStyle w:val="VerbatimChar"/>
        </w:rPr>
        <w:t xml:space="preserve">\section</w:t>
      </w:r>
      <w:r>
        <w:t xml:space="preserve">、</w:t>
      </w:r>
      <w:r>
        <w:rPr>
          <w:rStyle w:val="VerbatimChar"/>
        </w:rPr>
        <w:t xml:space="preserve">\subsection</w:t>
      </w:r>
      <w:r>
        <w:rPr>
          <w:rFonts w:hint="eastAsia"/>
        </w:rPr>
        <w:t xml:space="preserve">和</w:t>
      </w:r>
      <w:r>
        <w:rPr>
          <w:rStyle w:val="VerbatimChar"/>
        </w:rPr>
        <w:t xml:space="preserve">\subsubsection</w:t>
      </w:r>
      <w:r>
        <w:rPr>
          <w:rFonts w:hint="eastAsia"/>
        </w:rPr>
        <w:t xml:space="preserve">表示层级；图、表、公式使用标准浮动体和数学环境。</w:t>
      </w:r>
      <w:r>
        <w:t xml:space="preserve"> The manuscript structure should remain simple. The title, authors, abstract, and keywords are placed before the main text; the body uses</w:t>
      </w:r>
      <w:r>
        <w:t xml:space="preserve"> </w:t>
      </w:r>
      <w:r>
        <w:rPr>
          <w:rStyle w:val="VerbatimChar"/>
        </w:rPr>
        <w:t xml:space="preserve">\section</w:t>
      </w:r>
      <w:r>
        <w:t xml:space="preserve">,</w:t>
      </w:r>
      <w:r>
        <w:t xml:space="preserve"> </w:t>
      </w:r>
      <w:r>
        <w:rPr>
          <w:rStyle w:val="VerbatimChar"/>
        </w:rPr>
        <w:t xml:space="preserve">\subsection</w:t>
      </w:r>
      <w:r>
        <w:t xml:space="preserve">, and</w:t>
      </w:r>
      <w:r>
        <w:t xml:space="preserve"> </w:t>
      </w:r>
      <w:r>
        <w:rPr>
          <w:rStyle w:val="VerbatimChar"/>
        </w:rPr>
        <w:t xml:space="preserve">\subsubsection</w:t>
      </w:r>
      <w:r>
        <w:t xml:space="preserve"> </w:t>
      </w:r>
      <w:r>
        <w:t xml:space="preserve">to express hierarchy; figures, tables, and equations use standard floating and mathematical environments.</w:t>
      </w:r>
    </w:p>
    <w:bookmarkStart w:id="24" w:name="subsubsec:third-level"/>
    <w:p>
      <w:pPr>
        <w:pStyle w:val="LptHeading3"/>
      </w:pPr>
      <w:r>
        <w:rPr>
          <w:rFonts w:hint="eastAsia"/>
        </w:rPr>
        <w:t xml:space="preserve">三级标题示例</w:t>
      </w:r>
      <w:r>
        <w:t xml:space="preserve"> Third-Level Heading Example</w:t>
      </w:r>
    </w:p>
    <w:bookmarkEnd w:id="24"/>
    <w:p>
      <w:pPr>
        <w:pStyle w:val="LptBodyText"/>
      </w:pPr>
      <w:r>
        <w:rPr>
          <w:rFonts w:hint="eastAsia"/>
        </w:rPr>
        <w:t xml:space="preserve">三级标题可用于细分方法、实验条件或推导步骤。若后续需要投递期刊，可在定稿阶段再迁移到期刊模板，而不是在初稿阶段混入大量版式命令。</w:t>
      </w:r>
      <w:r>
        <w:t xml:space="preserve"> A third-level heading can be used to divide methods, experimental conditions, or derivation steps. If the manuscript later needs to be submitted to a journal, it can be migrated to the target journal template at the final stage instead of mixing many layout commands into the draft.</w:t>
      </w:r>
    </w:p>
    <w:bookmarkStart w:id="25" w:name="subsec:equation"/>
    <w:p>
      <w:pPr>
        <w:pStyle w:val="LptHeading2"/>
      </w:pPr>
      <w:r>
        <w:rPr>
          <w:rFonts w:hint="eastAsia"/>
        </w:rPr>
        <w:t xml:space="preserve">公式与引用</w:t>
      </w:r>
      <w:r>
        <w:t xml:space="preserve"> Equations and Citations</w:t>
      </w:r>
    </w:p>
    <w:bookmarkEnd w:id="25"/>
    <w:p>
      <w:pPr>
        <w:pStyle w:val="LptBodyText"/>
      </w:pPr>
      <w:r>
        <w:rPr>
          <w:rFonts w:hint="eastAsia"/>
        </w:rPr>
        <w:t xml:space="preserve">公式建议使用标准</w:t>
      </w:r>
      <w:r>
        <w:rPr>
          <w:rStyle w:val="VerbatimChar"/>
        </w:rPr>
        <w:t xml:space="preserve">equation</w:t>
      </w:r>
      <w:r>
        <w:rPr>
          <w:rFonts w:hint="eastAsia"/>
        </w:rPr>
        <w:t xml:space="preserve">环境。式(1)给出一个简单的线性模型：</w:t>
      </w:r>
      <w:r>
        <w:t xml:space="preserve"> Equations should use the standard</w:t>
      </w:r>
      <w:r>
        <w:t xml:space="preserve"> </w:t>
      </w:r>
      <w:r>
        <w:rPr>
          <w:rStyle w:val="VerbatimChar"/>
        </w:rPr>
        <w:t xml:space="preserve">equation</w:t>
      </w:r>
      <w:r>
        <w:t xml:space="preserve"> </w:t>
      </w:r>
      <w:r>
        <w:t xml:space="preserve">environment. Equation (1) gives a simple linear model:</w:t>
      </w:r>
    </w:p>
    <w:p>
      <w:pPr>
        <w:pStyle w:val="LptEquationNumbered"/>
      </w:pPr>
      <w:r>
        <w:tab/>
      </w:r>
      <m:oMath>
        <m:r>
          <m:t>y</m:t>
        </m:r>
        <m:r>
          <m:rPr>
            <m:sty m:val="p"/>
          </m:rPr>
          <m:t>=</m:t>
        </m:r>
        <m:r>
          <m:t>a</m:t>
        </m:r>
        <m:r>
          <m:t>x</m:t>
        </m:r>
        <m:r>
          <m:rPr>
            <m:sty m:val="p"/>
          </m:rPr>
          <m:t>+</m:t>
        </m:r>
        <m:r>
          <m:t>b</m:t>
        </m:r>
      </m:oMath>
      <w:r>
        <w:tab/>
      </w:r>
      <w:r>
        <w:t xml:space="preserve">(1)</w:t>
      </w:r>
    </w:p>
    <w:p>
      <w:pPr>
        <w:pStyle w:val="LptBodyText"/>
      </w:pPr>
      <w:r>
        <w:rPr>
          <w:rFonts w:hint="eastAsia"/>
        </w:rPr>
        <w:t xml:space="preserve">其中，</w:t>
      </w:r>
      <m:oMath>
        <m:r>
          <m:t>x</m:t>
        </m:r>
      </m:oMath>
      <w:r>
        <w:rPr>
          <w:rFonts w:hint="eastAsia"/>
        </w:rPr>
        <w:t xml:space="preserve">为自变量，</w:t>
      </w:r>
      <m:oMath>
        <m:r>
          <m:t>y</m:t>
        </m:r>
      </m:oMath>
      <w:r>
        <w:rPr>
          <w:rFonts w:hint="eastAsia"/>
        </w:rPr>
        <w:t xml:space="preserve">为因变量，</w:t>
      </w:r>
      <m:oMath>
        <m:r>
          <m:t>a</m:t>
        </m:r>
      </m:oMath>
      <w:r>
        <w:rPr>
          <w:rFonts w:hint="eastAsia"/>
        </w:rPr>
        <w:t xml:space="preserve">和</w:t>
      </w:r>
      <m:oMath>
        <m:r>
          <m:t>b</m:t>
        </m:r>
      </m:oMath>
      <w:r>
        <w:rPr>
          <w:rFonts w:hint="eastAsia"/>
        </w:rPr>
        <w:t xml:space="preserve">分别为模型参数。正文中可以继续引用式(1)，但不建议使用期刊模板专用的自定义引用命令。</w:t>
      </w:r>
      <w:r>
        <w:t xml:space="preserve"> Here,</w:t>
      </w:r>
      <w:r>
        <w:t xml:space="preserve"> </w:t>
      </w:r>
      <m:oMath>
        <m:r>
          <m:t>x</m:t>
        </m:r>
      </m:oMath>
      <w:r>
        <w:t xml:space="preserve"> </w:t>
      </w:r>
      <w:r>
        <w:t xml:space="preserve">is the independent variable,</w:t>
      </w:r>
      <w:r>
        <w:t xml:space="preserve"> </w:t>
      </w:r>
      <m:oMath>
        <m:r>
          <m:t>y</m:t>
        </m:r>
      </m:oMath>
      <w:r>
        <w:t xml:space="preserve"> </w:t>
      </w:r>
      <w:r>
        <w:t xml:space="preserve">is the dependent variable, and</w:t>
      </w:r>
      <w:r>
        <w:t xml:space="preserve"> </w:t>
      </w:r>
      <m:oMath>
        <m:r>
          <m:t>a</m:t>
        </m:r>
      </m:oMath>
      <w:r>
        <w:t xml:space="preserve"> </w:t>
      </w:r>
      <w:r>
        <w:t xml:space="preserve">and</w:t>
      </w:r>
      <w:r>
        <w:t xml:space="preserve"> </w:t>
      </w:r>
      <m:oMath>
        <m:r>
          <m:t>b</m:t>
        </m:r>
      </m:oMath>
      <w:r>
        <w:t xml:space="preserve"> </w:t>
      </w:r>
      <w:r>
        <w:t xml:space="preserve">are model parameters. The body text can continue to cite Equation (1), but journal-template-specific custom reference commands are not recommended.</w:t>
      </w:r>
    </w:p>
    <w:bookmarkStart w:id="26" w:name="subsec:compatibility"/>
    <w:p>
      <w:pPr>
        <w:pStyle w:val="LptHeading2"/>
      </w:pPr>
      <w:r>
        <w:rPr>
          <w:rFonts w:hint="eastAsia"/>
        </w:rPr>
        <w:t xml:space="preserve">转换兼容性示例</w:t>
      </w:r>
      <w:r>
        <w:t xml:space="preserve"> Conversion Compatibility Examples</w:t>
      </w:r>
    </w:p>
    <w:bookmarkEnd w:id="26"/>
    <w:p>
      <w:pPr>
        <w:pStyle w:val="LptBodyText"/>
      </w:pPr>
      <w:r>
        <w:rPr>
          <w:rFonts w:hint="eastAsia"/>
        </w:rPr>
        <w:t xml:space="preserve">本节给出少量转换兼容性示例，用于检查</w:t>
      </w:r>
      <w:r>
        <w:t xml:space="preserve"> Word </w:t>
      </w:r>
      <w:r>
        <w:rPr>
          <w:rFonts w:hint="eastAsia"/>
        </w:rPr>
        <w:t xml:space="preserve">转换前预处理能否展开常用缩略语、符号和单位。示例中，RANS</w:t>
      </w:r>
      <w:r>
        <w:t xml:space="preserve"> </w:t>
      </w:r>
      <w:r>
        <w:rPr>
          <w:rFonts w:hint="eastAsia"/>
        </w:rPr>
        <w:t xml:space="preserve">方法和两个</w:t>
      </w:r>
      <w:r>
        <w:t xml:space="preserve"> UAVs </w:t>
      </w:r>
      <w:r>
        <w:rPr>
          <w:rFonts w:hint="eastAsia"/>
        </w:rPr>
        <w:t xml:space="preserve">共享特征长度</w:t>
      </w:r>
      <w:r>
        <w:t xml:space="preserve"> </w:t>
      </w:r>
      <w:r>
        <w:rPr>
          <w:rFonts w:hint="eastAsia"/>
        </w:rPr>
        <w:t xml:space="preserve">L；采样频率可写为</w:t>
      </w:r>
      <w:r>
        <w:t xml:space="preserve"> 450 </w:t>
      </w:r>
      <w:r>
        <w:rPr>
          <w:rFonts w:hint="eastAsia"/>
        </w:rPr>
        <w:t xml:space="preserve">Hz，频带可写为</w:t>
      </w:r>
      <w:r>
        <w:t xml:space="preserve"> 450–700 </w:t>
      </w:r>
      <w:r>
        <w:rPr>
          <w:rFonts w:hint="eastAsia"/>
        </w:rPr>
        <w:t xml:space="preserve">Hz，角度可写为</w:t>
      </w:r>
      <w:r>
        <w:t xml:space="preserve"> -2°。 The compatibility examples exercise glossary expansion, siunitx-style units, and SVG-rendered equations without relying on journal-specific commands.</w:t>
      </w:r>
    </w:p>
    <w:tbl>
      <w:tblPr>
        <w:tblStyle w:val="Table"/>
        <w:tblW w:type="auto" w:w="0"/>
        <w:tblLook w:firstRow="0" w:lastRow="0" w:firstColumn="0" w:lastColumn="0" w:noHBand="0" w:noVBand="0" w:val="0000"/>
        <w:jc w:val="center"/>
        <w:tblLayout w:type="autofit"/>
        <w:tblBorders>
          <w:top w:val="single" w:sz="12" w:space="0" w:color="000000"/>
          <w:bottom w:val="single" w:sz="12" w:space="0" w:color="000000"/>
          <w:left w:val="nil"/>
          <w:right w:val="nil"/>
          <w:insideH w:val="nil"/>
          <w:insideV w:val="nil"/>
        </w:tblBorders>
      </w:tblPr>
      <w:tblGrid>
        <w:gridCol w:w="3960"/>
        <w:gridCol w:w="3960"/>
      </w:tblGrid>
      <w:tr>
        <w:tc>
          <w:tcPr>
            <w:tcBorders>
              <w:left w:val="nil"/>
              <w:right w:val="nil"/>
              <w:insideH w:val="nil"/>
              <w:insideV w:val="nil"/>
              <w:top w:val="single" w:sz="12" w:space="0" w:color="000000"/>
              <w:bottom w:val="single" w:sz="8" w:space="0" w:color="000000"/>
            </w:tcBorders>
          </w:tcPr>
          <w:p>
            <w:pPr>
              <w:pStyle w:val="LptTableHeader"/>
              <w:jc w:val="left"/>
            </w:pPr>
            <w:r>
              <w:rPr>
                <w:b/>
                <w:bCs/>
              </w:rPr>
              <w:t xml:space="preserve">L</w:t>
            </w:r>
          </w:p>
        </w:tc>
        <w:tc>
          <w:tcPr>
            <w:tcBorders>
              <w:left w:val="nil"/>
              <w:right w:val="nil"/>
              <w:insideH w:val="nil"/>
              <w:insideV w:val="nil"/>
              <w:top w:val="single" w:sz="12" w:space="0" w:color="000000"/>
              <w:bottom w:val="single" w:sz="8" w:space="0" w:color="000000"/>
            </w:tcBorders>
          </w:tcPr>
          <w:p>
            <w:pPr>
              <w:pStyle w:val="LptTableHeader"/>
              <w:jc w:val="left"/>
            </w:pPr>
            <w:r>
              <w:rPr>
                <w:rFonts w:hint="eastAsia"/>
              </w:rPr>
              <w:t xml:space="preserve">示例长度，单位</w:t>
            </w:r>
            <w:r>
              <w:t xml:space="preserve"> m</w:t>
            </w:r>
          </w:p>
        </w:tc>
      </w:tr>
    </w:tbl>
    <w:p/>
    <w:tbl>
      <w:tblPr>
        <w:tblStyle w:val="Table"/>
        <w:tblW w:type="auto" w:w="0"/>
        <w:tblLook w:firstRow="0" w:lastRow="0" w:firstColumn="0" w:lastColumn="0" w:noHBand="0" w:noVBand="0" w:val="0000"/>
        <w:jc w:val="center"/>
        <w:tblLayout w:type="autofit"/>
        <w:tblBorders>
          <w:top w:val="single" w:sz="12" w:space="0" w:color="000000"/>
          <w:bottom w:val="single" w:sz="12" w:space="0" w:color="000000"/>
          <w:left w:val="nil"/>
          <w:right w:val="nil"/>
          <w:insideH w:val="nil"/>
          <w:insideV w:val="nil"/>
        </w:tblBorders>
      </w:tblPr>
      <w:tblGrid>
        <w:gridCol w:w="3960"/>
        <w:gridCol w:w="3960"/>
      </w:tblGrid>
      <w:tr>
        <w:tc>
          <w:tcPr>
            <w:tcBorders>
              <w:left w:val="nil"/>
              <w:right w:val="nil"/>
              <w:insideH w:val="nil"/>
              <w:insideV w:val="nil"/>
              <w:top w:val="single" w:sz="12" w:space="0" w:color="000000"/>
              <w:bottom w:val="single" w:sz="8" w:space="0" w:color="000000"/>
            </w:tcBorders>
          </w:tcPr>
          <w:p>
            <w:pPr>
              <w:pStyle w:val="LptTableHeader"/>
              <w:jc w:val="left"/>
            </w:pPr>
            <w:r>
              <w:rPr>
                <w:b/>
                <w:bCs/>
              </w:rPr>
              <w:t xml:space="preserve">RANS</w:t>
            </w:r>
          </w:p>
        </w:tc>
        <w:tc>
          <w:tcPr>
            <w:tcBorders>
              <w:left w:val="nil"/>
              <w:right w:val="nil"/>
              <w:insideH w:val="nil"/>
              <w:insideV w:val="nil"/>
              <w:top w:val="single" w:sz="12" w:space="0" w:color="000000"/>
              <w:bottom w:val="single" w:sz="8" w:space="0" w:color="000000"/>
            </w:tcBorders>
          </w:tcPr>
          <w:p>
            <w:pPr>
              <w:pStyle w:val="LptTableHeader"/>
              <w:jc w:val="left"/>
            </w:pPr>
            <w:r>
              <w:t xml:space="preserve">Reynolds-averaged Navier-Stokes</w:t>
            </w:r>
          </w:p>
        </w:tc>
      </w:tr>
      <w:tr>
        <w:tc>
          <w:tcPr>
            <w:tcBorders>
              <w:left w:val="nil"/>
              <w:right w:val="nil"/>
              <w:insideH w:val="nil"/>
              <w:insideV w:val="nil"/>
              <w:top w:val="nil"/>
              <w:bottom w:val="single" w:sz="12" w:space="0" w:color="000000"/>
            </w:tcBorders>
          </w:tcPr>
          <w:p>
            <w:pPr>
              <w:pStyle w:val="LptTableBody"/>
              <w:jc w:val="left"/>
            </w:pPr>
            <w:r>
              <w:rPr>
                <w:b/>
                <w:bCs/>
              </w:rPr>
              <w:t xml:space="preserve">UAV</w:t>
            </w:r>
          </w:p>
        </w:tc>
        <w:tc>
          <w:tcPr>
            <w:tcBorders>
              <w:left w:val="nil"/>
              <w:right w:val="nil"/>
              <w:insideH w:val="nil"/>
              <w:insideV w:val="nil"/>
              <w:top w:val="nil"/>
              <w:bottom w:val="single" w:sz="12" w:space="0" w:color="000000"/>
            </w:tcBorders>
          </w:tcPr>
          <w:p>
            <w:pPr>
              <w:pStyle w:val="LptTableBody"/>
              <w:jc w:val="left"/>
            </w:pPr>
            <w:r>
              <w:t xml:space="preserve">Unmanned Aerial Vehicle</w:t>
            </w:r>
          </w:p>
        </w:tc>
      </w:tr>
    </w:tbl>
    <w:p>
      <w:pPr>
        <w:pStyle w:val="LptBodyText"/>
      </w:pPr>
      <w:r>
        <w:rPr>
          <w:rFonts w:hint="eastAsia"/>
        </w:rPr>
        <w:t xml:space="preserve">式(2)和式(3)用于触发复杂公式</w:t>
      </w:r>
      <w:r>
        <w:t xml:space="preserve"> SVG </w:t>
      </w:r>
      <w:r>
        <w:rPr>
          <w:rFonts w:hint="eastAsia"/>
        </w:rPr>
        <w:t xml:space="preserve">渲染。</w:t>
      </w:r>
      <w:r>
        <w:t xml:space="preserve"> Equation (2) and Equation (3) trigger SVG rendering for complex displayed equations.</w:t>
      </w:r>
    </w:p>
    <w:p>
      <w:pPr>
        <w:pStyle w:val="LptEquationNumbered"/>
      </w:pPr>
      <w:r>
        <w:tab/>
      </w:r>
      <m:oMath>
        <m:eqArr>
          <m:e>
            <m:sSub>
              <m:e>
                <m:r>
                  <m:rPr>
                    <m:sty m:val="b"/>
                  </m:rPr>
                  <m:t>q</m:t>
                </m:r>
              </m:e>
              <m:sub>
                <m:r>
                  <m:t>k</m:t>
                </m:r>
                <m:r>
                  <m:rPr>
                    <m:sty m:val="p"/>
                  </m:rPr>
                  <m:t>+</m:t>
                </m:r>
                <m:r>
                  <m:t>1</m:t>
                </m:r>
              </m:sub>
            </m:sSub>
            <m:r>
              <m:t>&amp;</m:t>
            </m:r>
            <m:r>
              <m:rPr>
                <m:sty m:val="p"/>
              </m:rPr>
              <m:t>=</m:t>
            </m:r>
            <m:r>
              <m:rPr>
                <m:sty m:val="b"/>
              </m:rPr>
              <m:t>A</m:t>
            </m:r>
            <m:sSub>
              <m:e>
                <m:r>
                  <m:rPr>
                    <m:sty m:val="b"/>
                  </m:rPr>
                  <m:t>q</m:t>
                </m:r>
              </m:e>
              <m:sub>
                <m:r>
                  <m:t>k</m:t>
                </m:r>
              </m:sub>
            </m:sSub>
            <m:r>
              <m:rPr>
                <m:sty m:val="p"/>
              </m:rPr>
              <m:t>+</m:t>
            </m:r>
            <m:r>
              <m:rPr>
                <m:sty m:val="b"/>
              </m:rPr>
              <m:t>b</m:t>
            </m:r>
          </m:e>
          <m:e>
            <m:sSub>
              <m:e>
                <m:r>
                  <m:t>y</m:t>
                </m:r>
              </m:e>
              <m:sub>
                <m:r>
                  <m:t>k</m:t>
                </m:r>
              </m:sub>
            </m:sSub>
            <m:r>
              <m:t>&amp;</m:t>
            </m:r>
            <m:r>
              <m:rPr>
                <m:sty m:val="p"/>
              </m:rPr>
              <m:t>=</m:t>
            </m:r>
            <m:sSup>
              <m:e>
                <m:r>
                  <m:rPr>
                    <m:sty m:val="b"/>
                  </m:rPr>
                  <m:t>c</m:t>
                </m:r>
              </m:e>
              <m:sup>
                <m:r>
                  <m:rPr>
                    <m:sty m:val="p"/>
                  </m:rPr>
                  <m:t>T</m:t>
                </m:r>
              </m:sup>
            </m:sSup>
            <m:sSub>
              <m:e>
                <m:r>
                  <m:rPr>
                    <m:sty m:val="b"/>
                  </m:rPr>
                  <m:t>q</m:t>
                </m:r>
              </m:e>
              <m:sub>
                <m:r>
                  <m:t>k</m:t>
                </m:r>
              </m:sub>
            </m:sSub>
          </m:e>
        </m:eqArr>
      </m:oMath>
      <w:r>
        <w:tab/>
      </w:r>
      <w:r>
        <w:t xml:space="preserve">(2)</w:t>
      </w:r>
    </w:p>
    <w:p>
      <w:pPr>
        <w:pStyle w:val="LptEquationNumbered"/>
      </w:pPr>
      <w:r>
        <w:tab/>
      </w:r>
      <m:oMath>
        <m:r>
          <m:t>f</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t>x</m:t>
                  </m:r>
                  <m:r>
                    <m:rPr>
                      <m:sty m:val="p"/>
                    </m:rPr>
                    <m:t>&lt;</m:t>
                  </m:r>
                  <m:r>
                    <m:t>0</m:t>
                  </m:r>
                </m:e>
              </m:mr>
              <m:mr>
                <m:e>
                  <m:sSup>
                    <m:e>
                      <m:r>
                        <m:t>x</m:t>
                      </m:r>
                    </m:e>
                    <m:sup>
                      <m:r>
                        <m:t>2</m:t>
                      </m:r>
                    </m:sup>
                  </m:sSup>
                  <m:r>
                    <m:rPr>
                      <m:sty m:val="p"/>
                    </m:rPr>
                    <m:t>,</m:t>
                  </m:r>
                </m:e>
                <m:e>
                  <m:r>
                    <m:t>x</m:t>
                  </m:r>
                  <m:r>
                    <m:rPr>
                      <m:sty m:val="p"/>
                    </m:rPr>
                    <m:t>≥</m:t>
                  </m:r>
                  <m:r>
                    <m:t>0</m:t>
                  </m:r>
                </m:e>
              </m:mr>
            </m:m>
          </m:e>
        </m:d>
      </m:oMath>
      <w:r>
        <w:tab/>
      </w:r>
      <w:r>
        <w:t xml:space="preserve">(3)</w:t>
      </w:r>
    </w:p>
    <w:bookmarkStart w:id="27" w:name="sec:results"/>
    <w:p>
      <w:pPr>
        <w:pStyle w:val="LptHeading1"/>
      </w:pPr>
      <w:r>
        <w:rPr>
          <w:rFonts w:hint="eastAsia"/>
        </w:rPr>
        <w:t xml:space="preserve">结果与讨论</w:t>
      </w:r>
      <w:r>
        <w:t xml:space="preserve"> Results and Discussion</w:t>
      </w:r>
    </w:p>
    <w:bookmarkEnd w:id="27"/>
    <w:bookmarkStart w:id="28" w:name="subsec:figure"/>
    <w:p>
      <w:pPr>
        <w:pStyle w:val="LptHeading2"/>
      </w:pPr>
      <w:r>
        <w:rPr>
          <w:rFonts w:hint="eastAsia"/>
        </w:rPr>
        <w:t xml:space="preserve">图片示例</w:t>
      </w:r>
      <w:r>
        <w:t xml:space="preserve"> Figure Examples</w:t>
      </w:r>
    </w:p>
    <w:bookmarkEnd w:id="28"/>
    <w:p>
      <w:pPr>
        <w:pStyle w:val="LptBodyText"/>
      </w:pPr>
      <w:r>
        <w:rPr>
          <w:rFonts w:hint="eastAsia"/>
        </w:rPr>
        <w:t xml:space="preserve">图1和图2展示了普通图片环境，它们分别插入同一图片的PDF和PNG格式，用于检查LaTeX编译和Pandoc转Word时不同图片格式的兼容性。为了便于Pandoc识别，建议每个图片只保留一个</w:t>
      </w:r>
      <w:r>
        <w:rPr>
          <w:rStyle w:val="VerbatimChar"/>
        </w:rPr>
        <w:t xml:space="preserve">\caption</w:t>
      </w:r>
      <w:r>
        <w:rPr>
          <w:rFonts w:hint="eastAsia"/>
        </w:rPr>
        <w:t xml:space="preserve">，不要使用双语图题计数器回退等复杂写法。注意，Word不支持PDF格式的图片，因此脚本在处理时先将pdf导出成了PNG格式。</w:t>
      </w:r>
      <w:r>
        <w:t xml:space="preserve"> Figure 1 and Figure 2 show ordinary figure environments. They insert the same image in PDF and PNG formats to check compatibility during LaTeX compilation and Pandoc-to-Word conversion. To help Pandoc recognize figures, each figure should keep only one</w:t>
      </w:r>
      <w:r>
        <w:t xml:space="preserve"> </w:t>
      </w:r>
      <w:r>
        <w:rPr>
          <w:rStyle w:val="VerbatimChar"/>
        </w:rPr>
        <w:t xml:space="preserve">\caption</w:t>
      </w:r>
      <w:r>
        <w:t xml:space="preserve"> </w:t>
      </w:r>
      <w:r>
        <w:t xml:space="preserve">and avoid complex patterns such as bilingual caption counter rollback. Note that Word does not support PDF images, so the script first exports PDF images to PNG during processing.</w:t>
      </w:r>
    </w:p>
    <w:bookmarkStart w:id="32" w:name="fig:vector-format-test-pdf"/>
    <w:p>
      <w:pPr>
        <w:pStyle w:val="CaptionedFigure"/>
      </w:pPr>
      <w:r>
        <w:drawing>
          <wp:inline>
            <wp:extent cx="2510777" cy="779839"/>
            <wp:effectExtent b="0" l="0" r="0" t="0"/>
            <wp:docPr descr="" title="" id="30" name="Picture"/>
            <a:graphic>
              <a:graphicData uri="http://schemas.openxmlformats.org/drawingml/2006/picture">
                <pic:pic>
                  <pic:nvPicPr>
                    <pic:cNvPr descr="example-fig-1-048ca51106-300dpi.png" id="31" name="Picture"/>
                    <pic:cNvPicPr>
                      <a:picLocks noChangeArrowheads="1" noChangeAspect="1"/>
                    </pic:cNvPicPr>
                  </pic:nvPicPr>
                  <pic:blipFill>
                    <a:blip r:embed="rId29"/>
                    <a:stretch>
                      <a:fillRect/>
                    </a:stretch>
                  </pic:blipFill>
                  <pic:spPr bwMode="auto">
                    <a:xfrm>
                      <a:off x="0" y="0"/>
                      <a:ext cx="2510777" cy="779839"/>
                    </a:xfrm>
                    <a:prstGeom prst="rect">
                      <a:avLst/>
                    </a:prstGeom>
                    <a:noFill/>
                    <a:ln w="9525">
                      <a:noFill/>
                      <a:headEnd/>
                      <a:tailEnd/>
                    </a:ln>
                  </pic:spPr>
                </pic:pic>
              </a:graphicData>
            </a:graphic>
          </wp:inline>
        </w:drawing>
      </w:r>
    </w:p>
    <w:p>
      <w:pPr>
        <w:pStyle w:val="LptFigureCaption"/>
      </w:pPr>
      <w:r>
        <w:rPr>
          <w:rFonts w:hint="eastAsia"/>
        </w:rPr>
        <w:t xml:space="preserve">图</w:t>
      </w:r>
      <w:r>
        <w:t xml:space="preserve"> 1 </w:t>
      </w:r>
      <w:r>
        <w:rPr>
          <w:rFonts w:hint="eastAsia"/>
        </w:rPr>
        <w:t xml:space="preserve">图片格式测试：PDF</w:t>
      </w:r>
      <w:r>
        <w:t xml:space="preserve"> </w:t>
      </w:r>
      <w:r>
        <w:rPr>
          <w:rFonts w:hint="eastAsia"/>
        </w:rPr>
        <w:t xml:space="preserve">矢量图</w:t>
      </w:r>
      <w:r>
        <w:t xml:space="preserve"> Figure format test: PDF vector image</w:t>
      </w:r>
    </w:p>
    <w:bookmarkEnd w:id="32"/>
    <w:bookmarkStart w:id="36" w:name="fig:vector-format-test-png"/>
    <w:p>
      <w:pPr>
        <w:pStyle w:val="CaptionedFigure"/>
      </w:pPr>
      <w:r>
        <w:drawing>
          <wp:inline>
            <wp:extent cx="2498544" cy="767606"/>
            <wp:effectExtent b="0" l="0" r="0" t="0"/>
            <wp:docPr descr="" title="" id="34" name="Picture"/>
            <a:graphic>
              <a:graphicData uri="http://schemas.openxmlformats.org/drawingml/2006/picture">
                <pic:pic>
                  <pic:nvPicPr>
                    <pic:cNvPr descr="example-fig-2.png" id="35" name="Picture"/>
                    <pic:cNvPicPr>
                      <a:picLocks noChangeArrowheads="1" noChangeAspect="1"/>
                    </pic:cNvPicPr>
                  </pic:nvPicPr>
                  <pic:blipFill>
                    <a:blip r:embed="rId33"/>
                    <a:stretch>
                      <a:fillRect/>
                    </a:stretch>
                  </pic:blipFill>
                  <pic:spPr bwMode="auto">
                    <a:xfrm>
                      <a:off x="0" y="0"/>
                      <a:ext cx="2498544" cy="767606"/>
                    </a:xfrm>
                    <a:prstGeom prst="rect">
                      <a:avLst/>
                    </a:prstGeom>
                    <a:noFill/>
                    <a:ln w="9525">
                      <a:noFill/>
                      <a:headEnd/>
                      <a:tailEnd/>
                    </a:ln>
                  </pic:spPr>
                </pic:pic>
              </a:graphicData>
            </a:graphic>
          </wp:inline>
        </w:drawing>
      </w:r>
    </w:p>
    <w:p>
      <w:pPr>
        <w:pStyle w:val="LptFigureCaption"/>
      </w:pPr>
      <w:r>
        <w:rPr>
          <w:rFonts w:hint="eastAsia"/>
        </w:rPr>
        <w:t xml:space="preserve">图</w:t>
      </w:r>
      <w:r>
        <w:t xml:space="preserve"> 2 </w:t>
      </w:r>
      <w:r>
        <w:rPr>
          <w:rFonts w:hint="eastAsia"/>
        </w:rPr>
        <w:t xml:space="preserve">图片格式测试：PNG</w:t>
      </w:r>
      <w:r>
        <w:t xml:space="preserve"> </w:t>
      </w:r>
      <w:r>
        <w:rPr>
          <w:rFonts w:hint="eastAsia"/>
        </w:rPr>
        <w:t xml:space="preserve">位图</w:t>
      </w:r>
      <w:r>
        <w:t xml:space="preserve"> Figure format test: PNG bitmap image</w:t>
      </w:r>
    </w:p>
    <w:bookmarkEnd w:id="36"/>
    <w:bookmarkStart w:id="37" w:name="subsec:table"/>
    <w:p>
      <w:pPr>
        <w:pStyle w:val="LptHeading2"/>
      </w:pPr>
      <w:r>
        <w:rPr>
          <w:rFonts w:hint="eastAsia"/>
        </w:rPr>
        <w:t xml:space="preserve">表格示例</w:t>
      </w:r>
      <w:r>
        <w:t xml:space="preserve"> Table Example</w:t>
      </w:r>
    </w:p>
    <w:bookmarkEnd w:id="37"/>
    <w:p>
      <w:pPr>
        <w:pStyle w:val="LptBodyText"/>
      </w:pPr>
      <w:r>
        <w:rPr>
          <w:rFonts w:hint="eastAsia"/>
        </w:rPr>
        <w:t xml:space="preserve">表1给出一个三线表。表格中可以使用</w:t>
      </w:r>
      <w:r>
        <w:rPr>
          <w:rStyle w:val="VerbatimChar"/>
        </w:rPr>
        <w:t xml:space="preserve">booktabs</w:t>
      </w:r>
      <w:r>
        <w:rPr>
          <w:rFonts w:hint="eastAsia"/>
        </w:rPr>
        <w:t xml:space="preserve">的</w:t>
      </w:r>
      <w:r>
        <w:rPr>
          <w:rStyle w:val="VerbatimChar"/>
        </w:rPr>
        <w:t xml:space="preserve">\toprule</w:t>
      </w:r>
      <w:r>
        <w:t xml:space="preserve">、</w:t>
      </w:r>
      <w:r>
        <w:rPr>
          <w:rStyle w:val="VerbatimChar"/>
        </w:rPr>
        <w:t xml:space="preserve">\midrule</w:t>
      </w:r>
      <w:r>
        <w:rPr>
          <w:rFonts w:hint="eastAsia"/>
        </w:rPr>
        <w:t xml:space="preserve">和</w:t>
      </w:r>
      <w:r>
        <w:rPr>
          <w:rStyle w:val="VerbatimChar"/>
        </w:rPr>
        <w:t xml:space="preserve">\bottomrule</w:t>
      </w:r>
      <w:r>
        <w:rPr>
          <w:rFonts w:hint="eastAsia"/>
        </w:rPr>
        <w:t xml:space="preserve">，这类结构通常比复杂合并单元格更利于转换。</w:t>
      </w:r>
      <w:r>
        <w:t xml:space="preserve"> Table 1 gives a three-line table. Tables can use the</w:t>
      </w:r>
      <w:r>
        <w:t xml:space="preserve"> </w:t>
      </w:r>
      <w:r>
        <w:rPr>
          <w:rStyle w:val="VerbatimChar"/>
        </w:rPr>
        <w:t xml:space="preserve">\toprule</w:t>
      </w:r>
      <w:r>
        <w:t xml:space="preserve">,</w:t>
      </w:r>
      <w:r>
        <w:t xml:space="preserve"> </w:t>
      </w:r>
      <w:r>
        <w:rPr>
          <w:rStyle w:val="VerbatimChar"/>
        </w:rPr>
        <w:t xml:space="preserve">\midrule</w:t>
      </w:r>
      <w:r>
        <w:t xml:space="preserve">, and</w:t>
      </w:r>
      <w:r>
        <w:t xml:space="preserve"> </w:t>
      </w:r>
      <w:r>
        <w:rPr>
          <w:rStyle w:val="VerbatimChar"/>
        </w:rPr>
        <w:t xml:space="preserve">\bottomrule</w:t>
      </w:r>
      <w:r>
        <w:t xml:space="preserve"> </w:t>
      </w:r>
      <w:r>
        <w:t xml:space="preserve">commands from</w:t>
      </w:r>
      <w:r>
        <w:t xml:space="preserve"> </w:t>
      </w:r>
      <w:r>
        <w:rPr>
          <w:rStyle w:val="VerbatimChar"/>
        </w:rPr>
        <w:t xml:space="preserve">booktabs</w:t>
      </w:r>
      <w:r>
        <w:t xml:space="preserve">; this structure is usually easier to convert than complex merged cells.</w:t>
      </w:r>
    </w:p>
    <w:bookmarkStart w:id="38" w:name="tab:sample"/>
    <w:p>
      <w:pPr>
        <w:pStyle w:val="LptTableCaption"/>
      </w:pPr>
      <w:r>
        <w:rPr>
          <w:rFonts w:hint="eastAsia"/>
        </w:rPr>
        <w:t xml:space="preserve">表</w:t>
      </w:r>
      <w:r>
        <w:t xml:space="preserve"> 1 </w:t>
      </w:r>
      <w:r>
        <w:rPr>
          <w:rFonts w:hint="eastAsia"/>
        </w:rPr>
        <w:t xml:space="preserve">表格示例：模型参数</w:t>
      </w:r>
      <w:r>
        <w:t xml:space="preserve"> Table example: model parameters</w:t>
      </w:r>
    </w:p>
    <w:tbl>
      <w:tblPr>
        <w:tblStyle w:val="Table"/>
        <w:tblW w:type="auto" w:w="0"/>
        <w:tblLook w:firstRow="1" w:lastRow="0" w:firstColumn="0" w:lastColumn="0" w:noHBand="0" w:noVBand="0" w:val="0020"/>
        <w:tblCaption w:val="表 1 表格示例：模型参数 Table example: model parameters"/>
        <w:jc w:val="center"/>
        <w:tblLayout w:type="autofit"/>
        <w:tblBorders>
          <w:top w:val="single" w:sz="12" w:space="0" w:color="000000"/>
          <w:bottom w:val="single" w:sz="12" w:space="0" w:color="000000"/>
          <w:left w:val="nil"/>
          <w:right w:val="nil"/>
          <w:insideH w:val="nil"/>
          <w:insideV w:val="nil"/>
        </w:tblBorders>
      </w:tblPr>
      <w:tblGrid>
        <w:gridCol w:w="2640"/>
        <w:gridCol w:w="2640"/>
        <w:gridCol w:w="2640"/>
      </w:tblGrid>
      <w:tr>
        <w:trPr>
          <w:tblHeader w:val="on"/>
        </w:trPr>
        <w:tc>
          <w:tcPr>
            <w:tcBorders>
              <w:left w:val="nil"/>
              <w:right w:val="nil"/>
              <w:insideH w:val="nil"/>
              <w:insideV w:val="nil"/>
              <w:top w:val="single" w:sz="12" w:space="0" w:color="000000"/>
              <w:bottom w:val="single" w:sz="8" w:space="0" w:color="000000"/>
            </w:tcBorders>
          </w:tcPr>
          <w:p>
            <w:pPr>
              <w:pStyle w:val="LptTableHeader"/>
              <w:jc w:val="left"/>
            </w:pPr>
            <w:r>
              <w:rPr>
                <w:rFonts w:hint="eastAsia"/>
              </w:rPr>
              <w:t xml:space="preserve">参数</w:t>
            </w:r>
            <w:r>
              <w:t xml:space="preserve"> Parameter</w:t>
            </w:r>
          </w:p>
        </w:tc>
        <w:tc>
          <w:tcPr>
            <w:tcBorders>
              <w:left w:val="nil"/>
              <w:right w:val="nil"/>
              <w:insideH w:val="nil"/>
              <w:insideV w:val="nil"/>
              <w:top w:val="single" w:sz="12" w:space="0" w:color="000000"/>
              <w:bottom w:val="single" w:sz="8" w:space="0" w:color="000000"/>
            </w:tcBorders>
          </w:tcPr>
          <w:p>
            <w:pPr>
              <w:pStyle w:val="LptTableHeader"/>
              <w:jc w:val="center"/>
            </w:pPr>
            <w:r>
              <w:rPr>
                <w:rFonts w:hint="eastAsia"/>
              </w:rPr>
              <w:t xml:space="preserve">数值</w:t>
            </w:r>
            <w:r>
              <w:t xml:space="preserve"> Value</w:t>
            </w:r>
          </w:p>
        </w:tc>
        <w:tc>
          <w:tcPr>
            <w:tcBorders>
              <w:left w:val="nil"/>
              <w:right w:val="nil"/>
              <w:insideH w:val="nil"/>
              <w:insideV w:val="nil"/>
              <w:top w:val="single" w:sz="12" w:space="0" w:color="000000"/>
              <w:bottom w:val="single" w:sz="8" w:space="0" w:color="000000"/>
            </w:tcBorders>
          </w:tcPr>
          <w:p>
            <w:pPr>
              <w:pStyle w:val="LptTableHeader"/>
              <w:jc w:val="center"/>
            </w:pPr>
            <w:r>
              <w:rPr>
                <w:rFonts w:hint="eastAsia"/>
              </w:rPr>
              <w:t xml:space="preserve">单位</w:t>
            </w:r>
            <w:r>
              <w:t xml:space="preserve"> Unit</w:t>
            </w:r>
          </w:p>
        </w:tc>
      </w:tr>
      <w:tr>
        <w:tc>
          <w:tcPr>
            <w:tcBorders>
              <w:left w:val="nil"/>
              <w:right w:val="nil"/>
              <w:insideH w:val="nil"/>
              <w:insideV w:val="nil"/>
              <w:top w:val="nil"/>
              <w:bottom w:val="nil"/>
            </w:tcBorders>
          </w:tcPr>
          <w:p>
            <w:pPr>
              <w:pStyle w:val="LptTableBody"/>
              <w:jc w:val="left"/>
            </w:pPr>
            <w:r>
              <w:rPr>
                <w:rFonts w:hint="eastAsia"/>
              </w:rPr>
              <w:t xml:space="preserve">斜率</w:t>
            </w:r>
            <w:r>
              <w:t xml:space="preserve"> Slope</w:t>
            </w:r>
            <w:r>
              <w:t xml:space="preserve"> </w:t>
            </w:r>
            <m:oMath>
              <m:r>
                <m:t>a</m:t>
              </m:r>
            </m:oMath>
          </w:p>
        </w:tc>
        <w:tc>
          <w:tcPr>
            <w:tcBorders>
              <w:left w:val="nil"/>
              <w:right w:val="nil"/>
              <w:insideH w:val="nil"/>
              <w:insideV w:val="nil"/>
              <w:top w:val="nil"/>
              <w:bottom w:val="nil"/>
            </w:tcBorders>
          </w:tcPr>
          <w:p>
            <w:pPr>
              <w:pStyle w:val="LptTableBody"/>
              <w:jc w:val="center"/>
            </w:pPr>
            <w:r>
              <w:t xml:space="preserve">1.20</w:t>
            </w:r>
          </w:p>
        </w:tc>
        <w:tc>
          <w:tcPr>
            <w:tcBorders>
              <w:left w:val="nil"/>
              <w:right w:val="nil"/>
              <w:insideH w:val="nil"/>
              <w:insideV w:val="nil"/>
              <w:top w:val="nil"/>
              <w:bottom w:val="nil"/>
            </w:tcBorders>
          </w:tcPr>
          <w:p>
            <w:pPr>
              <w:pStyle w:val="LptTableBody"/>
              <w:jc w:val="center"/>
            </w:pPr>
            <w:r>
              <w:t xml:space="preserve">–</w:t>
            </w:r>
          </w:p>
        </w:tc>
      </w:tr>
      <w:tr>
        <w:tc>
          <w:tcPr>
            <w:tcBorders>
              <w:left w:val="nil"/>
              <w:right w:val="nil"/>
              <w:insideH w:val="nil"/>
              <w:insideV w:val="nil"/>
              <w:top w:val="nil"/>
              <w:bottom w:val="nil"/>
            </w:tcBorders>
          </w:tcPr>
          <w:p>
            <w:pPr>
              <w:pStyle w:val="LptTableBody"/>
              <w:jc w:val="left"/>
            </w:pPr>
            <w:r>
              <w:rPr>
                <w:rFonts w:hint="eastAsia"/>
              </w:rPr>
              <w:t xml:space="preserve">截距</w:t>
            </w:r>
            <w:r>
              <w:t xml:space="preserve"> Intercept</w:t>
            </w:r>
            <w:r>
              <w:t xml:space="preserve"> </w:t>
            </w:r>
            <m:oMath>
              <m:r>
                <m:t>b</m:t>
              </m:r>
            </m:oMath>
          </w:p>
        </w:tc>
        <w:tc>
          <w:tcPr>
            <w:tcBorders>
              <w:left w:val="nil"/>
              <w:right w:val="nil"/>
              <w:insideH w:val="nil"/>
              <w:insideV w:val="nil"/>
              <w:top w:val="nil"/>
              <w:bottom w:val="nil"/>
            </w:tcBorders>
          </w:tcPr>
          <w:p>
            <w:pPr>
              <w:pStyle w:val="LptTableBody"/>
              <w:jc w:val="center"/>
            </w:pPr>
            <w:r>
              <w:t xml:space="preserve">0.35</w:t>
            </w:r>
          </w:p>
        </w:tc>
        <w:tc>
          <w:tcPr>
            <w:tcBorders>
              <w:left w:val="nil"/>
              <w:right w:val="nil"/>
              <w:insideH w:val="nil"/>
              <w:insideV w:val="nil"/>
              <w:top w:val="nil"/>
              <w:bottom w:val="nil"/>
            </w:tcBorders>
          </w:tcPr>
          <w:p>
            <w:pPr>
              <w:pStyle w:val="LptTableBody"/>
              <w:jc w:val="center"/>
            </w:pPr>
            <w:r>
              <w:t xml:space="preserve">–</w:t>
            </w:r>
          </w:p>
        </w:tc>
      </w:tr>
      <w:tr>
        <w:tc>
          <w:tcPr>
            <w:tcBorders>
              <w:left w:val="nil"/>
              <w:right w:val="nil"/>
              <w:insideH w:val="nil"/>
              <w:insideV w:val="nil"/>
              <w:top w:val="nil"/>
              <w:bottom w:val="single" w:sz="12" w:space="0" w:color="000000"/>
            </w:tcBorders>
          </w:tcPr>
          <w:p>
            <w:pPr>
              <w:pStyle w:val="LptTableBody"/>
              <w:jc w:val="left"/>
            </w:pPr>
            <w:r>
              <w:rPr>
                <w:rFonts w:hint="eastAsia"/>
              </w:rPr>
              <w:t xml:space="preserve">样本数</w:t>
            </w:r>
            <w:r>
              <w:t xml:space="preserve"> Sample size</w:t>
            </w:r>
            <w:r>
              <w:t xml:space="preserve"> </w:t>
            </w:r>
            <m:oMath>
              <m:r>
                <m:t>n</m:t>
              </m:r>
            </m:oMath>
          </w:p>
        </w:tc>
        <w:tc>
          <w:tcPr>
            <w:tcBorders>
              <w:left w:val="nil"/>
              <w:right w:val="nil"/>
              <w:insideH w:val="nil"/>
              <w:insideV w:val="nil"/>
              <w:top w:val="nil"/>
              <w:bottom w:val="single" w:sz="12" w:space="0" w:color="000000"/>
            </w:tcBorders>
          </w:tcPr>
          <w:p>
            <w:pPr>
              <w:pStyle w:val="LptTableBody"/>
              <w:jc w:val="center"/>
            </w:pPr>
            <w:r>
              <w:t xml:space="preserve">100</w:t>
            </w:r>
          </w:p>
        </w:tc>
        <w:tc>
          <w:tcPr>
            <w:tcBorders>
              <w:left w:val="nil"/>
              <w:right w:val="nil"/>
              <w:insideH w:val="nil"/>
              <w:insideV w:val="nil"/>
              <w:top w:val="nil"/>
              <w:bottom w:val="single" w:sz="12" w:space="0" w:color="000000"/>
            </w:tcBorders>
          </w:tcPr>
          <w:p>
            <w:pPr>
              <w:pStyle w:val="LptTableBody"/>
              <w:jc w:val="center"/>
            </w:pPr>
            <w:r>
              <w:t xml:space="preserve">–</w:t>
            </w:r>
          </w:p>
        </w:tc>
      </w:tr>
    </w:tbl>
    <w:bookmarkEnd w:id="38"/>
    <w:bookmarkStart w:id="39" w:name="subsec:cross-reference"/>
    <w:p>
      <w:pPr>
        <w:pStyle w:val="LptHeading2"/>
      </w:pPr>
      <w:r>
        <w:rPr>
          <w:rFonts w:hint="eastAsia"/>
        </w:rPr>
        <w:t xml:space="preserve">综合引用示例</w:t>
      </w:r>
      <w:r>
        <w:t xml:space="preserve"> Combined Cross-Reference Example</w:t>
      </w:r>
    </w:p>
    <w:bookmarkEnd w:id="39"/>
    <w:p>
      <w:pPr>
        <w:pStyle w:val="LptBodyText"/>
      </w:pPr>
      <w:r>
        <w:rPr>
          <w:rFonts w:hint="eastAsia"/>
        </w:rPr>
        <w:t xml:space="preserve">在讨论中可以同时引用多个对象。例如，第</w:t>
      </w:r>
      <w:hyperlink w:anchor="subsec:equation">
        <w:r>
          <w:rPr>
            <w:rStyle w:val="af"/>
          </w:rPr>
          <w:t xml:space="preserve">2.2</w:t>
        </w:r>
      </w:hyperlink>
      <w:r>
        <w:rPr>
          <w:rFonts w:hint="eastAsia"/>
        </w:rPr>
        <w:t xml:space="preserve">节定义了模型，式(1)给出了数学表达，图1、图2和表1分别展示了图片和表格的写法。</w:t>
      </w:r>
      <w:r>
        <w:t xml:space="preserve"> Multiple objects can be cited together in the discussion. For example, Section</w:t>
      </w:r>
      <w:r>
        <w:t xml:space="preserve"> </w:t>
      </w:r>
      <w:hyperlink w:anchor="subsec:equation">
        <w:r>
          <w:rPr>
            <w:rStyle w:val="af"/>
          </w:rPr>
          <w:t xml:space="preserve">2.2</w:t>
        </w:r>
      </w:hyperlink>
      <w:r>
        <w:t xml:space="preserve"> </w:t>
      </w:r>
      <w:r>
        <w:t xml:space="preserve">defines the model, Equation (1) gives the mathematical expression, and Figure 1, Figure 2, and Table 1 show the writing patterns for figures and tables.</w:t>
      </w:r>
      <w:r>
        <w:t xml:space="preserve"> </w:t>
      </w:r>
      <w:r>
        <w:rPr>
          <w:rFonts w:hint="eastAsia"/>
        </w:rPr>
        <w:t xml:space="preserve">本模板的参考文献文件覆盖了多种BibTeX条目类型，包括期刊论文</w:t>
      </w:r>
      <w:r>
        <w:rPr>
          <w:vertAlign w:val="superscript"/>
        </w:rPr>
        <w:t xml:space="preserve">[1, 2]</w:t>
      </w:r>
      <w:r>
        <w:rPr>
          <w:rFonts w:hint="eastAsia"/>
        </w:rPr>
        <w:t xml:space="preserve">、档案资料</w:t>
      </w:r>
      <w:r>
        <w:rPr>
          <w:vertAlign w:val="superscript"/>
        </w:rPr>
        <w:t xml:space="preserve">[3]</w:t>
      </w:r>
      <w:r>
        <w:rPr>
          <w:rFonts w:hint="eastAsia"/>
        </w:rPr>
        <w:t xml:space="preserve">、专著</w:t>
      </w:r>
      <w:r>
        <w:rPr>
          <w:vertAlign w:val="superscript"/>
        </w:rPr>
        <w:t xml:space="preserve">[4]</w:t>
      </w:r>
      <w:r>
        <w:rPr>
          <w:rFonts w:hint="eastAsia"/>
        </w:rPr>
        <w:t xml:space="preserve">、小册子</w:t>
      </w:r>
      <w:r>
        <w:rPr>
          <w:vertAlign w:val="superscript"/>
        </w:rPr>
        <w:t xml:space="preserve">[5]</w:t>
      </w:r>
      <w:r>
        <w:rPr>
          <w:rFonts w:hint="eastAsia"/>
        </w:rPr>
        <w:t xml:space="preserve">、文集</w:t>
      </w:r>
      <w:r>
        <w:rPr>
          <w:vertAlign w:val="superscript"/>
        </w:rPr>
        <w:t xml:space="preserve">[6]</w:t>
      </w:r>
      <w:r>
        <w:rPr>
          <w:rFonts w:hint="eastAsia"/>
        </w:rPr>
        <w:t xml:space="preserve">、会议论文</w:t>
      </w:r>
      <w:r>
        <w:rPr>
          <w:vertAlign w:val="superscript"/>
        </w:rPr>
        <w:t xml:space="preserve">[7, 8]</w:t>
      </w:r>
      <w:r>
        <w:rPr>
          <w:rFonts w:hint="eastAsia"/>
        </w:rPr>
        <w:t xml:space="preserve">、数据库</w:t>
      </w:r>
      <w:r>
        <w:rPr>
          <w:vertAlign w:val="superscript"/>
        </w:rPr>
        <w:t xml:space="preserve">[9]</w:t>
      </w:r>
      <w:r>
        <w:rPr>
          <w:rFonts w:hint="eastAsia"/>
        </w:rPr>
        <w:t xml:space="preserve">、数据集</w:t>
      </w:r>
      <w:r>
        <w:rPr>
          <w:vertAlign w:val="superscript"/>
        </w:rPr>
        <w:t xml:space="preserve">[10]</w:t>
      </w:r>
      <w:r>
        <w:rPr>
          <w:rFonts w:hint="eastAsia"/>
        </w:rPr>
        <w:t xml:space="preserve">、电子资料</w:t>
      </w:r>
      <w:r>
        <w:rPr>
          <w:vertAlign w:val="superscript"/>
        </w:rPr>
        <w:t xml:space="preserve">[11]</w:t>
      </w:r>
      <w:r>
        <w:rPr>
          <w:rFonts w:hint="eastAsia"/>
        </w:rPr>
        <w:t xml:space="preserve">、书中章节</w:t>
      </w:r>
      <w:r>
        <w:rPr>
          <w:vertAlign w:val="superscript"/>
        </w:rPr>
        <w:t xml:space="preserve">[12]</w:t>
      </w:r>
      <w:r>
        <w:rPr>
          <w:rFonts w:hint="eastAsia"/>
        </w:rPr>
        <w:t xml:space="preserve">、论文集章节</w:t>
      </w:r>
      <w:r>
        <w:rPr>
          <w:vertAlign w:val="superscript"/>
        </w:rPr>
        <w:t xml:space="preserve">[13]</w:t>
      </w:r>
      <w:r>
        <w:rPr>
          <w:rFonts w:hint="eastAsia"/>
        </w:rPr>
        <w:t xml:space="preserve">、手册</w:t>
      </w:r>
      <w:r>
        <w:rPr>
          <w:vertAlign w:val="superscript"/>
        </w:rPr>
        <w:t xml:space="preserve">[14]</w:t>
      </w:r>
      <w:r>
        <w:rPr>
          <w:rFonts w:hint="eastAsia"/>
        </w:rPr>
        <w:t xml:space="preserve">、地图</w:t>
      </w:r>
      <w:r>
        <w:rPr>
          <w:vertAlign w:val="superscript"/>
        </w:rPr>
        <w:t xml:space="preserve">[15]</w:t>
      </w:r>
      <w:r>
        <w:rPr>
          <w:rFonts w:hint="eastAsia"/>
        </w:rPr>
        <w:t xml:space="preserve">、学位论文</w:t>
      </w:r>
      <w:r>
        <w:rPr>
          <w:vertAlign w:val="superscript"/>
        </w:rPr>
        <w:t xml:space="preserve">[16, 17]</w:t>
      </w:r>
      <w:r>
        <w:rPr>
          <w:rFonts w:hint="eastAsia"/>
        </w:rPr>
        <w:t xml:space="preserve">、普通资料</w:t>
      </w:r>
      <w:r>
        <w:rPr>
          <w:vertAlign w:val="superscript"/>
        </w:rPr>
        <w:t xml:space="preserve">[18]</w:t>
      </w:r>
      <w:r>
        <w:rPr>
          <w:rFonts w:hint="eastAsia"/>
        </w:rPr>
        <w:t xml:space="preserve">、专题著作</w:t>
      </w:r>
      <w:r>
        <w:rPr>
          <w:vertAlign w:val="superscript"/>
        </w:rPr>
        <w:t xml:space="preserve">[19]</w:t>
      </w:r>
      <w:r>
        <w:rPr>
          <w:rFonts w:hint="eastAsia"/>
        </w:rPr>
        <w:t xml:space="preserve">、报纸文章</w:t>
      </w:r>
      <w:r>
        <w:rPr>
          <w:vertAlign w:val="superscript"/>
        </w:rPr>
        <w:t xml:space="preserve">[20]</w:t>
      </w:r>
      <w:r>
        <w:rPr>
          <w:rFonts w:hint="eastAsia"/>
        </w:rPr>
        <w:t xml:space="preserve">、在线资料</w:t>
      </w:r>
      <w:r>
        <w:rPr>
          <w:vertAlign w:val="superscript"/>
        </w:rPr>
        <w:t xml:space="preserve">[21]</w:t>
      </w:r>
      <w:r>
        <w:rPr>
          <w:rFonts w:hint="eastAsia"/>
        </w:rPr>
        <w:t xml:space="preserve">、专利</w:t>
      </w:r>
      <w:r>
        <w:rPr>
          <w:vertAlign w:val="superscript"/>
        </w:rPr>
        <w:t xml:space="preserve">[22]</w:t>
      </w:r>
      <w:r>
        <w:rPr>
          <w:rFonts w:hint="eastAsia"/>
        </w:rPr>
        <w:t xml:space="preserve">、连续出版物</w:t>
      </w:r>
      <w:r>
        <w:rPr>
          <w:vertAlign w:val="superscript"/>
        </w:rPr>
        <w:t xml:space="preserve">[23]</w:t>
      </w:r>
      <w:r>
        <w:rPr>
          <w:rFonts w:hint="eastAsia"/>
        </w:rPr>
        <w:t xml:space="preserve">、会议录</w:t>
      </w:r>
      <w:r>
        <w:rPr>
          <w:vertAlign w:val="superscript"/>
        </w:rPr>
        <w:t xml:space="preserve">[24]</w:t>
      </w:r>
      <w:r>
        <w:rPr>
          <w:rFonts w:hint="eastAsia"/>
        </w:rPr>
        <w:t xml:space="preserve">、软件</w:t>
      </w:r>
      <w:r>
        <w:rPr>
          <w:vertAlign w:val="superscript"/>
        </w:rPr>
        <w:t xml:space="preserve">[25]</w:t>
      </w:r>
      <w:r>
        <w:rPr>
          <w:rFonts w:hint="eastAsia"/>
        </w:rPr>
        <w:t xml:space="preserve">、标准</w:t>
      </w:r>
      <w:r>
        <w:rPr>
          <w:vertAlign w:val="superscript"/>
        </w:rPr>
        <w:t xml:space="preserve">[26]</w:t>
      </w:r>
      <w:r>
        <w:rPr>
          <w:rFonts w:hint="eastAsia"/>
        </w:rPr>
        <w:t xml:space="preserve">、技术报告</w:t>
      </w:r>
      <w:r>
        <w:rPr>
          <w:vertAlign w:val="superscript"/>
        </w:rPr>
        <w:t xml:space="preserve">[27]</w:t>
      </w:r>
      <w:r>
        <w:rPr>
          <w:rFonts w:hint="eastAsia"/>
        </w:rPr>
        <w:t xml:space="preserve">，以及未出版资料</w:t>
      </w:r>
      <w:r>
        <w:rPr>
          <w:vertAlign w:val="superscript"/>
        </w:rPr>
        <w:t xml:space="preserve">[28]</w:t>
      </w:r>
      <w:r>
        <w:rPr>
          <w:rFonts w:hint="eastAsia"/>
        </w:rPr>
        <w:t xml:space="preserve">；在Pandoc转Word时，这些引用可以通过同一个BibTeX数据库统一管理。</w:t>
      </w:r>
      <w:r>
        <w:t xml:space="preserve"> The bibliography file in this template covers many BibTeX entry types, including journal articles</w:t>
      </w:r>
      <w:r>
        <w:rPr>
          <w:vertAlign w:val="superscript"/>
        </w:rPr>
        <w:t xml:space="preserve">[1, 2]</w:t>
      </w:r>
      <w:r>
        <w:t xml:space="preserve">, archives</w:t>
      </w:r>
      <w:r>
        <w:rPr>
          <w:vertAlign w:val="superscript"/>
        </w:rPr>
        <w:t xml:space="preserve">[3]</w:t>
      </w:r>
      <w:r>
        <w:t xml:space="preserve">, books</w:t>
      </w:r>
      <w:r>
        <w:rPr>
          <w:vertAlign w:val="superscript"/>
        </w:rPr>
        <w:t xml:space="preserve">[4]</w:t>
      </w:r>
      <w:r>
        <w:t xml:space="preserve">, booklets</w:t>
      </w:r>
      <w:r>
        <w:rPr>
          <w:vertAlign w:val="superscript"/>
        </w:rPr>
        <w:t xml:space="preserve">[5]</w:t>
      </w:r>
      <w:r>
        <w:t xml:space="preserve">, collections</w:t>
      </w:r>
      <w:r>
        <w:rPr>
          <w:vertAlign w:val="superscript"/>
        </w:rPr>
        <w:t xml:space="preserve">[6]</w:t>
      </w:r>
      <w:r>
        <w:t xml:space="preserve">, conference papers</w:t>
      </w:r>
      <w:r>
        <w:rPr>
          <w:vertAlign w:val="superscript"/>
        </w:rPr>
        <w:t xml:space="preserve">[7, 8]</w:t>
      </w:r>
      <w:r>
        <w:t xml:space="preserve">, databases</w:t>
      </w:r>
      <w:r>
        <w:rPr>
          <w:vertAlign w:val="superscript"/>
        </w:rPr>
        <w:t xml:space="preserve">[9]</w:t>
      </w:r>
      <w:r>
        <w:t xml:space="preserve">, datasets</w:t>
      </w:r>
      <w:r>
        <w:rPr>
          <w:vertAlign w:val="superscript"/>
        </w:rPr>
        <w:t xml:space="preserve">[10]</w:t>
      </w:r>
      <w:r>
        <w:t xml:space="preserve">, electronic resources</w:t>
      </w:r>
      <w:r>
        <w:rPr>
          <w:vertAlign w:val="superscript"/>
        </w:rPr>
        <w:t xml:space="preserve">[11]</w:t>
      </w:r>
      <w:r>
        <w:t xml:space="preserve">, book chapters</w:t>
      </w:r>
      <w:r>
        <w:rPr>
          <w:vertAlign w:val="superscript"/>
        </w:rPr>
        <w:t xml:space="preserve">[12]</w:t>
      </w:r>
      <w:r>
        <w:t xml:space="preserve">, proceedings chapters</w:t>
      </w:r>
      <w:r>
        <w:rPr>
          <w:vertAlign w:val="superscript"/>
        </w:rPr>
        <w:t xml:space="preserve">[13]</w:t>
      </w:r>
      <w:r>
        <w:t xml:space="preserve">, manuals</w:t>
      </w:r>
      <w:r>
        <w:rPr>
          <w:vertAlign w:val="superscript"/>
        </w:rPr>
        <w:t xml:space="preserve">[14]</w:t>
      </w:r>
      <w:r>
        <w:t xml:space="preserve">, maps</w:t>
      </w:r>
      <w:r>
        <w:rPr>
          <w:vertAlign w:val="superscript"/>
        </w:rPr>
        <w:t xml:space="preserve">[15]</w:t>
      </w:r>
      <w:r>
        <w:t xml:space="preserve">, theses</w:t>
      </w:r>
      <w:r>
        <w:rPr>
          <w:vertAlign w:val="superscript"/>
        </w:rPr>
        <w:t xml:space="preserve">[16, 17]</w:t>
      </w:r>
      <w:r>
        <w:t xml:space="preserve">, miscellaneous materials</w:t>
      </w:r>
      <w:r>
        <w:rPr>
          <w:vertAlign w:val="superscript"/>
        </w:rPr>
        <w:t xml:space="preserve">[18]</w:t>
      </w:r>
      <w:r>
        <w:t xml:space="preserve">, monographs</w:t>
      </w:r>
      <w:r>
        <w:rPr>
          <w:vertAlign w:val="superscript"/>
        </w:rPr>
        <w:t xml:space="preserve">[19]</w:t>
      </w:r>
      <w:r>
        <w:t xml:space="preserve">, newspaper articles</w:t>
      </w:r>
      <w:r>
        <w:rPr>
          <w:vertAlign w:val="superscript"/>
        </w:rPr>
        <w:t xml:space="preserve">[20]</w:t>
      </w:r>
      <w:r>
        <w:t xml:space="preserve">, online resources</w:t>
      </w:r>
      <w:r>
        <w:rPr>
          <w:vertAlign w:val="superscript"/>
        </w:rPr>
        <w:t xml:space="preserve">[21]</w:t>
      </w:r>
      <w:r>
        <w:t xml:space="preserve">, patents</w:t>
      </w:r>
      <w:r>
        <w:rPr>
          <w:vertAlign w:val="superscript"/>
        </w:rPr>
        <w:t xml:space="preserve">[22]</w:t>
      </w:r>
      <w:r>
        <w:t xml:space="preserve">, serials</w:t>
      </w:r>
      <w:r>
        <w:rPr>
          <w:vertAlign w:val="superscript"/>
        </w:rPr>
        <w:t xml:space="preserve">[23]</w:t>
      </w:r>
      <w:r>
        <w:t xml:space="preserve">, proceedings</w:t>
      </w:r>
      <w:r>
        <w:rPr>
          <w:vertAlign w:val="superscript"/>
        </w:rPr>
        <w:t xml:space="preserve">[24]</w:t>
      </w:r>
      <w:r>
        <w:t xml:space="preserve">, software</w:t>
      </w:r>
      <w:r>
        <w:rPr>
          <w:vertAlign w:val="superscript"/>
        </w:rPr>
        <w:t xml:space="preserve">[25]</w:t>
      </w:r>
      <w:r>
        <w:t xml:space="preserve">, standards</w:t>
      </w:r>
      <w:r>
        <w:rPr>
          <w:vertAlign w:val="superscript"/>
        </w:rPr>
        <w:t xml:space="preserve">[26]</w:t>
      </w:r>
      <w:r>
        <w:t xml:space="preserve">, technical reports</w:t>
      </w:r>
      <w:r>
        <w:rPr>
          <w:vertAlign w:val="superscript"/>
        </w:rPr>
        <w:t xml:space="preserve">[27]</w:t>
      </w:r>
      <w:r>
        <w:t xml:space="preserve">, and unpublished materials</w:t>
      </w:r>
      <w:r>
        <w:rPr>
          <w:vertAlign w:val="superscript"/>
        </w:rPr>
        <w:t xml:space="preserve">[28]</w:t>
      </w:r>
      <w:r>
        <w:t xml:space="preserve">. During Pandoc-to-Word conversion, these references can be managed through the same BibTeX database.</w:t>
      </w:r>
    </w:p>
    <w:bookmarkStart w:id="40" w:name="sec:conclusion"/>
    <w:p>
      <w:pPr>
        <w:pStyle w:val="LptHeading1"/>
      </w:pPr>
      <w:r>
        <w:rPr>
          <w:rFonts w:hint="eastAsia"/>
        </w:rPr>
        <w:t xml:space="preserve">结论</w:t>
      </w:r>
      <w:r>
        <w:t xml:space="preserve"> Conclusion</w:t>
      </w:r>
    </w:p>
    <w:bookmarkEnd w:id="40"/>
    <w:p>
      <w:pPr>
        <w:pStyle w:val="LptBodyText"/>
      </w:pPr>
      <w:r>
        <w:rPr>
          <w:rFonts w:hint="eastAsia"/>
        </w:rPr>
        <w:t xml:space="preserve">本文示例保留了论文手稿的核心语义元素，同时删除了期刊模板中的页眉页脚、双栏、字体、复杂标题页和专用参考文献宏。这样的写法更适合作为Pandoc转Word审阅稿的源文件。</w:t>
      </w:r>
      <w:r>
        <w:t xml:space="preserve"> This example keeps the core semantic elements of a manuscript while removing journal-template elements such as headers and footers, two-column layout, special fonts, complex title pages, and dedicated reference macros. This writing style is more suitable as the source file for a Pandoc-generated Word review draft.</w:t>
      </w:r>
    </w:p>
    <w:p>
      <w:pPr>
        <w:pStyle w:val="LptReferencesHeading"/>
      </w:pPr>
      <w:r>
        <w:rPr>
          <w:rFonts w:hint="eastAsia"/>
        </w:rPr>
        <w:t xml:space="preserve">参考文献</w:t>
      </w:r>
    </w:p>
    <w:bookmarkStart w:id="79" w:name="refs"/>
    <w:bookmarkStart w:id="42" w:name="ref-nightcity2077chipSideChannel"/>
    <w:p>
      <w:pPr>
        <w:pStyle w:val="LptReferenceItem"/>
      </w:pPr>
      <w:r>
        <w:t xml:space="preserve">[1]</w:t>
      </w:r>
      <w:r>
        <w:t xml:space="preserve"> </w:t>
      </w:r>
      <w:r>
        <w:t xml:space="preserve">	</w:t>
      </w:r>
      <w:r>
        <w:t xml:space="preserve">CUNNINGHAM A, T-BUG. Observability analysis of cortical augment chip side-channel echoes and low-latency neural interference[J/OL]. Journal of Neural Interface Security, 2077, 42(3): 117-139. DOI:</w:t>
      </w:r>
      <w:r>
        <w:t xml:space="preserve"> </w:t>
      </w:r>
      <w:hyperlink r:id="rId41">
        <w:r>
          <w:rPr>
            <w:rStyle w:val="af"/>
          </w:rPr>
          <w:t xml:space="preserve">10.2077/jnis.42.3.117</w:t>
        </w:r>
      </w:hyperlink>
      <w:r>
        <w:t xml:space="preserve">.</w:t>
      </w:r>
    </w:p>
    <w:bookmarkEnd w:id="42"/>
    <w:bookmarkStart w:id="44" w:name="ref-wang2047flyingBlade"/>
    <w:p>
      <w:pPr>
        <w:pStyle w:val="LptReferenceItem"/>
      </w:pPr>
      <w:r>
        <w:t xml:space="preserve">[2]</w:t>
      </w:r>
      <w:r>
        <w:t xml:space="preserve"> </w:t>
      </w:r>
      <w:r>
        <w:t xml:space="preserve">	</w:t>
      </w:r>
      <w:r>
        <w:rPr>
          <w:rFonts w:hint="eastAsia"/>
        </w:rPr>
        <w:t xml:space="preserve">汪淼.</w:t>
      </w:r>
      <w:r>
        <w:t xml:space="preserve"> </w:t>
      </w:r>
      <w:r>
        <w:rPr>
          <w:rFonts w:hint="eastAsia"/>
        </w:rPr>
        <w:t xml:space="preserve">基于飞刃纳米材料的高张力钢结构准静态切割性能分析与多层甲板干扰实验[J/OL].</w:t>
      </w:r>
      <w:r>
        <w:t xml:space="preserve"> </w:t>
      </w:r>
      <w:r>
        <w:rPr>
          <w:rFonts w:hint="eastAsia"/>
        </w:rPr>
        <w:t xml:space="preserve">纳米材料与高强结构学报,</w:t>
      </w:r>
      <w:r>
        <w:t xml:space="preserve"> 2047, 18(4): 233-251. DOI:</w:t>
      </w:r>
      <w:r>
        <w:t xml:space="preserve"> </w:t>
      </w:r>
      <w:hyperlink r:id="rId43">
        <w:r>
          <w:rPr>
            <w:rStyle w:val="af"/>
          </w:rPr>
          <w:t xml:space="preserve">10.2047/nmhs.18.4.233</w:t>
        </w:r>
      </w:hyperlink>
      <w:r>
        <w:t xml:space="preserve">.</w:t>
      </w:r>
    </w:p>
    <w:bookmarkEnd w:id="44"/>
    <w:bookmarkStart w:id="46" w:name="ref-天庭巡查司648六根封存"/>
    <w:p>
      <w:pPr>
        <w:pStyle w:val="LptReferenceItem"/>
      </w:pPr>
      <w:r>
        <w:t xml:space="preserve">[3]</w:t>
      </w:r>
      <w:r>
        <w:t xml:space="preserve"> </w:t>
      </w:r>
      <w:r>
        <w:t xml:space="preserve">	</w:t>
      </w:r>
      <w:r>
        <w:rPr>
          <w:rFonts w:hint="eastAsia"/>
        </w:rPr>
        <w:t xml:space="preserve">天庭巡察司案牍房,</w:t>
      </w:r>
      <w:r>
        <w:t xml:space="preserve"> </w:t>
      </w:r>
      <w:r>
        <w:rPr>
          <w:rFonts w:hint="eastAsia"/>
        </w:rPr>
        <w:t xml:space="preserve">土地庙案牍房.</w:t>
      </w:r>
      <w:r>
        <w:t xml:space="preserve"> </w:t>
      </w:r>
      <w:r>
        <w:rPr>
          <w:rFonts w:hint="eastAsia"/>
        </w:rPr>
        <w:t xml:space="preserve">关于齐天大圣孙悟空六根封存事宜及后续妖王受领、</w:t>
      </w:r>
      <w:r>
        <w:t xml:space="preserve"> </w:t>
      </w:r>
      <w:r>
        <w:rPr>
          <w:rFonts w:hint="eastAsia"/>
        </w:rPr>
        <w:t xml:space="preserve">责任界定与切割批注的案牍汇编（内部试行本）[Z].</w:t>
      </w:r>
      <w:r>
        <w:t xml:space="preserve"> [S.l.: s.n.], </w:t>
      </w:r>
      <w:r>
        <w:rPr>
          <w:rFonts w:hint="eastAsia"/>
        </w:rPr>
        <w:t xml:space="preserve">648公元.</w:t>
      </w:r>
      <w:r>
        <w:t xml:space="preserve"> </w:t>
      </w:r>
      <w:hyperlink r:id="rId45">
        <w:r>
          <w:rPr>
            <w:rStyle w:val="af"/>
            <w:rFonts w:hint="eastAsia"/>
          </w:rPr>
          <w:t xml:space="preserve">https://archive.lingxiao.heaven/neibu/wukong/six-roots?key=庚申</w:t>
        </w:r>
      </w:hyperlink>
      <w:r>
        <w:t xml:space="preserve">.</w:t>
      </w:r>
    </w:p>
    <w:bookmarkEnd w:id="46"/>
    <w:bookmarkStart w:id="47" w:name="ref-logan1023firstFlame"/>
    <w:p>
      <w:pPr>
        <w:pStyle w:val="LptReferenceItem"/>
      </w:pPr>
      <w:r>
        <w:t xml:space="preserve">[4]</w:t>
      </w:r>
      <w:r>
        <w:t xml:space="preserve"> </w:t>
      </w:r>
      <w:r>
        <w:t xml:space="preserve">	</w:t>
      </w:r>
      <w:r>
        <w:t xml:space="preserve">LOGAN B H. Soul-level decay, hollowing dynamics, and vessel relink thresholds under residual first-flame radiation[M]. Vinheim: Vinheim Academy Press, 1023: 1-486.</w:t>
      </w:r>
    </w:p>
    <w:bookmarkEnd w:id="47"/>
    <w:bookmarkStart w:id="48" w:name="ref-htt2010teaTimeRules"/>
    <w:p>
      <w:pPr>
        <w:pStyle w:val="LptReferenceItem"/>
      </w:pPr>
      <w:r>
        <w:t xml:space="preserve">[5]</w:t>
      </w:r>
      <w:r>
        <w:t xml:space="preserve"> </w:t>
      </w:r>
      <w:r>
        <w:t xml:space="preserve">	</w:t>
      </w:r>
      <w:r>
        <w:rPr>
          <w:rFonts w:hint="eastAsia"/>
        </w:rPr>
        <w:t xml:space="preserve">琴吹紬,</w:t>
      </w:r>
      <w:r>
        <w:t xml:space="preserve"> </w:t>
      </w:r>
      <w:r>
        <w:rPr>
          <w:rFonts w:hint="eastAsia"/>
        </w:rPr>
        <w:t xml:space="preserve">平泽唯,</w:t>
      </w:r>
      <w:r>
        <w:t xml:space="preserve"> </w:t>
      </w:r>
      <w:r>
        <w:rPr>
          <w:rFonts w:hint="eastAsia"/>
        </w:rPr>
        <w:t xml:space="preserve">秋山澪,</w:t>
      </w:r>
      <w:r>
        <w:t xml:space="preserve"> et al. </w:t>
      </w:r>
      <w:r>
        <w:rPr>
          <w:rFonts w:hint="eastAsia"/>
        </w:rPr>
        <w:t xml:space="preserve">放课后</w:t>
      </w:r>
      <w:r>
        <w:t xml:space="preserve"> tea time </w:t>
      </w:r>
      <w:r>
        <w:rPr>
          <w:rFonts w:hint="eastAsia"/>
        </w:rPr>
        <w:t xml:space="preserve">茶点制备、分配与练习室清洁规程[Z].</w:t>
      </w:r>
      <w:r>
        <w:t xml:space="preserve"> [S.l.: s.n.], 2010.</w:t>
      </w:r>
    </w:p>
    <w:bookmarkEnd w:id="48"/>
    <w:bookmarkStart w:id="49" w:name="ref-senshi514dungeonFoodSystems"/>
    <w:p>
      <w:pPr>
        <w:pStyle w:val="LptReferenceItem"/>
      </w:pPr>
      <w:r>
        <w:t xml:space="preserve">[6]</w:t>
      </w:r>
      <w:r>
        <w:t xml:space="preserve"> </w:t>
      </w:r>
      <w:r>
        <w:t xml:space="preserve">	</w:t>
      </w:r>
      <w:r>
        <w:t xml:space="preserve">SENSHI, TOUDEN L, DONATO M, et al. Thermal processing windows, toxicity classes, and ecological harvesting of edible dungeon monsters[M]. The Island: Golden Country Field Press, </w:t>
      </w:r>
      <w:r>
        <w:rPr>
          <w:rFonts w:hint="eastAsia"/>
        </w:rPr>
        <w:t xml:space="preserve">514公元:</w:t>
      </w:r>
      <w:r>
        <w:t xml:space="preserve"> 1-372.</w:t>
      </w:r>
    </w:p>
    <w:bookmarkEnd w:id="49"/>
    <w:bookmarkStart w:id="51" w:name="ref-二郎642六根分配"/>
    <w:p>
      <w:pPr>
        <w:pStyle w:val="LptReferenceItem"/>
      </w:pPr>
      <w:r>
        <w:t xml:space="preserve">[7]</w:t>
      </w:r>
      <w:r>
        <w:t xml:space="preserve"> </w:t>
      </w:r>
      <w:r>
        <w:t xml:space="preserve">	</w:t>
      </w:r>
      <w:r>
        <w:rPr>
          <w:rFonts w:hint="eastAsia"/>
        </w:rPr>
        <w:t xml:space="preserve">二郎显圣真君,</w:t>
      </w:r>
      <w:r>
        <w:t xml:space="preserve"> </w:t>
      </w:r>
      <w:r>
        <w:rPr>
          <w:rFonts w:hint="eastAsia"/>
        </w:rPr>
        <w:t xml:space="preserve">黄眉,</w:t>
      </w:r>
      <w:r>
        <w:t xml:space="preserve"> </w:t>
      </w:r>
      <w:r>
        <w:rPr>
          <w:rFonts w:hint="eastAsia"/>
        </w:rPr>
        <w:t xml:space="preserve">黑风大王,</w:t>
      </w:r>
      <w:r>
        <w:t xml:space="preserve"> et al. </w:t>
      </w:r>
      <w:r>
        <w:rPr>
          <w:rFonts w:hint="eastAsia"/>
        </w:rPr>
        <w:t xml:space="preserve">大圣残躯六根分置：妖王敕封、灵蕴禁锢与重感预警事宜[Z].</w:t>
      </w:r>
      <w:r>
        <w:t xml:space="preserve"> [S.l.: s.n.], </w:t>
      </w:r>
      <w:r>
        <w:rPr>
          <w:rFonts w:hint="eastAsia"/>
        </w:rPr>
        <w:t xml:space="preserve">642公元.</w:t>
      </w:r>
      <w:r>
        <w:t xml:space="preserve"> DOI:</w:t>
      </w:r>
      <w:r>
        <w:t xml:space="preserve"> </w:t>
      </w:r>
      <w:hyperlink r:id="rId50">
        <w:r>
          <w:rPr>
            <w:rStyle w:val="af"/>
            <w:rFonts w:hint="eastAsia"/>
          </w:rPr>
          <w:t xml:space="preserve">10.天庭.封存/642.66</w:t>
        </w:r>
      </w:hyperlink>
      <w:r>
        <w:t xml:space="preserve">.</w:t>
      </w:r>
    </w:p>
    <w:bookmarkEnd w:id="51"/>
    <w:bookmarkStart w:id="53" w:name="ref-bridges2039timefallRouting"/>
    <w:p>
      <w:pPr>
        <w:pStyle w:val="LptReferenceItem"/>
      </w:pPr>
      <w:r>
        <w:t xml:space="preserve">[8]</w:t>
      </w:r>
      <w:r>
        <w:t xml:space="preserve"> </w:t>
      </w:r>
      <w:r>
        <w:t xml:space="preserve">	</w:t>
      </w:r>
      <w:r>
        <w:t xml:space="preserve">BRIDGES S P, FRAGILE. Time-varying degradation models for last-mile delivery under timefall exposure and chiral-network trust reweighting[C/OL]//Proceedings of the UCA Symposium on Chiral Logistics and Terrain Reconstruction. United Cities of America, 2039: 144-159. DOI:</w:t>
      </w:r>
      <w:r>
        <w:t xml:space="preserve"> </w:t>
      </w:r>
      <w:hyperlink r:id="rId52">
        <w:r>
          <w:rPr>
            <w:rStyle w:val="af"/>
          </w:rPr>
          <w:t xml:space="preserve">10.2039/uca.cltr.144</w:t>
        </w:r>
      </w:hyperlink>
      <w:r>
        <w:t xml:space="preserve">.</w:t>
      </w:r>
    </w:p>
    <w:bookmarkEnd w:id="53"/>
    <w:bookmarkStart w:id="55" w:name="ref-ofnir1320landsBetweenDatabase"/>
    <w:p>
      <w:pPr>
        <w:pStyle w:val="LptReferenceItem"/>
      </w:pPr>
      <w:r>
        <w:t xml:space="preserve">[9]</w:t>
      </w:r>
      <w:r>
        <w:t xml:space="preserve"> </w:t>
      </w:r>
      <w:r>
        <w:t xml:space="preserve">	</w:t>
      </w:r>
      <w:r>
        <w:t xml:space="preserve">OFNIR G. Conflicting provenance database of relics, rune inscriptions, and demigod kinship claims in the lands between[Z]. [S.l.: s.n.], 1320.</w:t>
      </w:r>
      <w:r>
        <w:t xml:space="preserve"> </w:t>
      </w:r>
      <w:hyperlink r:id="rId54">
        <w:r>
          <w:rPr>
            <w:rStyle w:val="af"/>
          </w:rPr>
          <w:t xml:space="preserve">https://roundtable.example/db/relic-provenance</w:t>
        </w:r>
      </w:hyperlink>
      <w:r>
        <w:t xml:space="preserve">.</w:t>
      </w:r>
    </w:p>
    <w:bookmarkEnd w:id="55"/>
    <w:bookmarkStart w:id="57" w:name="ref-heroAssociation2021disasterDataset"/>
    <w:p>
      <w:pPr>
        <w:pStyle w:val="LptReferenceItem"/>
      </w:pPr>
      <w:r>
        <w:t xml:space="preserve">[10]</w:t>
      </w:r>
      <w:r>
        <w:t xml:space="preserve"> </w:t>
      </w:r>
      <w:r>
        <w:t xml:space="preserve">	</w:t>
      </w:r>
      <w:r>
        <w:t xml:space="preserve">GENOS, EMPEROR C, KNIGHT M, et al. Hero association disaster-level revision, urban damage, and s-class response latency dataset[Z]. [S.l.: s.n.], 2021.</w:t>
      </w:r>
      <w:r>
        <w:t xml:space="preserve"> </w:t>
      </w:r>
      <w:hyperlink r:id="rId56">
        <w:r>
          <w:rPr>
            <w:rStyle w:val="af"/>
          </w:rPr>
          <w:t xml:space="preserve">https://hero-association.example/datasets/disaster-latency</w:t>
        </w:r>
      </w:hyperlink>
      <w:r>
        <w:t xml:space="preserve">.</w:t>
      </w:r>
    </w:p>
    <w:bookmarkEnd w:id="57"/>
    <w:bookmarkStart w:id="59" w:name="ref-alvarez2076braindanceArtifacts"/>
    <w:p>
      <w:pPr>
        <w:pStyle w:val="LptReferenceItem"/>
      </w:pPr>
      <w:r>
        <w:t xml:space="preserve">[11]</w:t>
      </w:r>
      <w:r>
        <w:t xml:space="preserve"> </w:t>
      </w:r>
      <w:r>
        <w:t xml:space="preserve">	</w:t>
      </w:r>
      <w:r>
        <w:t xml:space="preserve">ALVAREZ J. Electronic archive of tactile-channel compression artifacts, affective synchronization error, and illicit braindance distribution links[EB/OL]. Lizzie’s Braindance Workshop, 2076.</w:t>
      </w:r>
      <w:r>
        <w:t xml:space="preserve"> </w:t>
      </w:r>
      <w:hyperlink r:id="rId58">
        <w:r>
          <w:rPr>
            <w:rStyle w:val="af"/>
          </w:rPr>
          <w:t xml:space="preserve">https://bdarchive.nightcity.example/tactile-artifacts</w:t>
        </w:r>
      </w:hyperlink>
      <w:r>
        <w:t xml:space="preserve">.</w:t>
      </w:r>
    </w:p>
    <w:bookmarkEnd w:id="59"/>
    <w:bookmarkStart w:id="60" w:name="ref-tu550moonEngineChapter"/>
    <w:p>
      <w:pPr>
        <w:pStyle w:val="LptReferenceItem"/>
      </w:pPr>
      <w:r>
        <w:t xml:space="preserve">[12]</w:t>
      </w:r>
      <w:r>
        <w:t xml:space="preserve"> </w:t>
      </w:r>
      <w:r>
        <w:t xml:space="preserve">	</w:t>
      </w:r>
      <w:r>
        <w:rPr>
          <w:rFonts w:hint="eastAsia"/>
        </w:rPr>
        <w:t xml:space="preserve">图恒宇,</w:t>
      </w:r>
      <w:r>
        <w:t xml:space="preserve"> MOSS. Lunar-engine phase error, digital-life backup latency, and the global ignition protocol[M]. </w:t>
      </w:r>
      <w:r>
        <w:rPr>
          <w:rFonts w:hint="eastAsia"/>
        </w:rPr>
        <w:t xml:space="preserve">北京:</w:t>
      </w:r>
      <w:r>
        <w:t xml:space="preserve"> United Earth Government Engineering History Office, 2058: 201-238.</w:t>
      </w:r>
    </w:p>
    <w:bookmarkEnd w:id="60"/>
    <w:bookmarkStart w:id="61" w:name="ref-frieren1045memoryMagic"/>
    <w:p>
      <w:pPr>
        <w:pStyle w:val="LptReferenceItem"/>
      </w:pPr>
      <w:r>
        <w:t xml:space="preserve">[13]</w:t>
      </w:r>
      <w:r>
        <w:t xml:space="preserve"> </w:t>
      </w:r>
      <w:r>
        <w:t xml:space="preserve">	</w:t>
      </w:r>
      <w:r>
        <w:t xml:space="preserve">FRIEREN, FERN. Memory error in long-lived species, low-frequency mourning behavior, and maintenance of civilian magic catalogues[M]//HEITER, SEIN. Applied Memory Engineering after the Demon King’s Defeat. Äußerst: Central Magic Association Press, 1045: 73-102.</w:t>
      </w:r>
    </w:p>
    <w:bookmarkEnd w:id="61"/>
    <w:bookmarkStart w:id="62" w:name="ref-sculptor1579prostheticManual"/>
    <w:p>
      <w:pPr>
        <w:pStyle w:val="LptReferenceItem"/>
      </w:pPr>
      <w:r>
        <w:t xml:space="preserve">[14]</w:t>
      </w:r>
      <w:r>
        <w:t xml:space="preserve"> </w:t>
      </w:r>
      <w:r>
        <w:t xml:space="preserve">	</w:t>
      </w:r>
      <w:r>
        <w:t xml:space="preserve">SCULPTOR T, EMMA. Maintenance of modular shinobi prosthetic mechanisms, tool load matching, and post-inflammatory tissue recovery[M]. Ashina Outskirts: Dilapidated Temple Prosthetic Office, 1579: 1-96.</w:t>
      </w:r>
    </w:p>
    <w:bookmarkEnd w:id="62"/>
    <w:bookmarkStart w:id="63" w:name="ref-senshi514goldenCountryMap"/>
    <w:p>
      <w:pPr>
        <w:pStyle w:val="LptReferenceItem"/>
      </w:pPr>
      <w:r>
        <w:t xml:space="preserve">[15]</w:t>
      </w:r>
      <w:r>
        <w:t xml:space="preserve"> </w:t>
      </w:r>
      <w:r>
        <w:t xml:space="preserve">	</w:t>
      </w:r>
      <w:r>
        <w:rPr>
          <w:rFonts w:hint="eastAsia"/>
        </w:rPr>
        <w:t xml:space="preserve">森西,</w:t>
      </w:r>
      <w:r>
        <w:t xml:space="preserve"> </w:t>
      </w:r>
      <w:r>
        <w:rPr>
          <w:rFonts w:hint="eastAsia"/>
        </w:rPr>
        <w:t xml:space="preserve">玛露希尔.</w:t>
      </w:r>
      <w:r>
        <w:t xml:space="preserve"> </w:t>
      </w:r>
      <w:r>
        <w:rPr>
          <w:rFonts w:hint="eastAsia"/>
        </w:rPr>
        <w:t xml:space="preserve">黄金乡地下迷宫可食魔物分布、迁徙季节与热处理风险图[Z].</w:t>
      </w:r>
      <w:r>
        <w:t xml:space="preserve"> [S.l.: s.n.], </w:t>
      </w:r>
      <w:r>
        <w:rPr>
          <w:rFonts w:hint="eastAsia"/>
        </w:rPr>
        <w:t xml:space="preserve">514公元.</w:t>
      </w:r>
    </w:p>
    <w:bookmarkEnd w:id="63"/>
    <w:bookmarkStart w:id="64" w:name="ref-gotoh2023stageNoise"/>
    <w:p>
      <w:pPr>
        <w:pStyle w:val="LptReferenceItem"/>
      </w:pPr>
      <w:r>
        <w:t xml:space="preserve">[16]</w:t>
      </w:r>
      <w:r>
        <w:t xml:space="preserve"> </w:t>
      </w:r>
      <w:r>
        <w:t xml:space="preserve">	</w:t>
      </w:r>
      <w:r>
        <w:t xml:space="preserve">GOTOH H. Correlations among individual anxiety feedback, guitar distortion parameters, and small-band synchronization in low-signal-to-noise stage environments[Z]. [S.l.: s.n.], 2023.</w:t>
      </w:r>
    </w:p>
    <w:bookmarkEnd w:id="64"/>
    <w:bookmarkStart w:id="65" w:name="ref-sellen1214primevalCurrent"/>
    <w:p>
      <w:pPr>
        <w:pStyle w:val="LptReferenceItem"/>
      </w:pPr>
      <w:r>
        <w:t xml:space="preserve">[17]</w:t>
      </w:r>
      <w:r>
        <w:t xml:space="preserve"> </w:t>
      </w:r>
      <w:r>
        <w:t xml:space="preserve">	</w:t>
      </w:r>
      <w:r>
        <w:t xml:space="preserve">SELLEN S. Coherent excitation of the primeval current in glintstone cores, consciousness transcription, and the ethical boundary of academy experimentation[Z]. [S.l.: s.n.], 1214.</w:t>
      </w:r>
    </w:p>
    <w:bookmarkEnd w:id="65"/>
    <w:bookmarkStart w:id="66" w:name="ref-rubicon621jobFragments"/>
    <w:p>
      <w:pPr>
        <w:pStyle w:val="LptReferenceItem"/>
      </w:pPr>
      <w:r>
        <w:t xml:space="preserve">[18]</w:t>
      </w:r>
      <w:r>
        <w:t xml:space="preserve"> </w:t>
      </w:r>
      <w:r>
        <w:t xml:space="preserve">	</w:t>
      </w:r>
      <w:r>
        <w:t xml:space="preserve">WALTER H, AYRE. Rubicon independent mercenary job-board fragments, coral-echo annotations, and mission-objective drift records[Z]. [S.l.: s.n.], </w:t>
      </w:r>
      <w:r>
        <w:rPr>
          <w:rFonts w:hint="eastAsia"/>
        </w:rPr>
        <w:t xml:space="preserve">621公元.</w:t>
      </w:r>
    </w:p>
    <w:bookmarkEnd w:id="66"/>
    <w:bookmarkStart w:id="67" w:name="ref-moretti1349divinationRisk"/>
    <w:p>
      <w:pPr>
        <w:pStyle w:val="LptReferenceItem"/>
      </w:pPr>
      <w:r>
        <w:t xml:space="preserve">[19]</w:t>
      </w:r>
      <w:r>
        <w:t xml:space="preserve"> </w:t>
      </w:r>
      <w:r>
        <w:t xml:space="preserve">	</w:t>
      </w:r>
      <w:r>
        <w:rPr>
          <w:rFonts w:hint="eastAsia"/>
        </w:rPr>
        <w:t xml:space="preserve">克莱恩·莫雷蒂.</w:t>
      </w:r>
      <w:r>
        <w:t xml:space="preserve"> </w:t>
      </w:r>
      <w:r>
        <w:rPr>
          <w:rFonts w:hint="eastAsia"/>
        </w:rPr>
        <w:t xml:space="preserve">灰雾占卜干扰条件下非凡事件溯源、风险分级与值夜者行动决策[Z].</w:t>
      </w:r>
      <w:r>
        <w:t xml:space="preserve"> [S.l.: s.n.], 1349.</w:t>
      </w:r>
    </w:p>
    <w:bookmarkEnd w:id="67"/>
    <w:bookmarkStart w:id="68" w:name="ref-usagiyama2014steamerFault"/>
    <w:p>
      <w:pPr>
        <w:pStyle w:val="LptReferenceItem"/>
      </w:pPr>
      <w:r>
        <w:t xml:space="preserve">[20]</w:t>
      </w:r>
      <w:r>
        <w:t xml:space="preserve"> </w:t>
      </w:r>
      <w:r>
        <w:t xml:space="preserve">	</w:t>
      </w:r>
      <w:r>
        <w:t xml:space="preserve">USAGIYAMA SHOPPING DISTRICT NEWS. Brief steamer-line failure on mochi festival eve; usagiyama association says supply remains unaffected[Z]. [S.l.: s.n.], 2014.</w:t>
      </w:r>
    </w:p>
    <w:bookmarkEnd w:id="68"/>
    <w:bookmarkStart w:id="70" w:name="ref-nakano2011keionGear"/>
    <w:p>
      <w:pPr>
        <w:pStyle w:val="LptReferenceItem"/>
      </w:pPr>
      <w:r>
        <w:t xml:space="preserve">[21]</w:t>
      </w:r>
      <w:r>
        <w:t xml:space="preserve"> </w:t>
      </w:r>
      <w:r>
        <w:t xml:space="preserve">	</w:t>
      </w:r>
      <w:r>
        <w:t xml:space="preserve">NAKANO A. Sakuragaoka light music club gear lineage, amplifier settings, and school-festival recording variant notes[EB/OL]. Light Music Club Equipment Archive, 2011.</w:t>
      </w:r>
      <w:r>
        <w:t xml:space="preserve"> </w:t>
      </w:r>
      <w:hyperlink r:id="rId69">
        <w:r>
          <w:rPr>
            <w:rStyle w:val="af"/>
          </w:rPr>
          <w:t xml:space="preserve">https://keion-gear.example/sakuragaoka/archive</w:t>
        </w:r>
      </w:hyperlink>
      <w:r>
        <w:t xml:space="preserve">.</w:t>
      </w:r>
    </w:p>
    <w:bookmarkEnd w:id="70"/>
    <w:bookmarkStart w:id="71" w:name="ref-gustav1192priorArtTranslation"/>
    <w:p>
      <w:pPr>
        <w:pStyle w:val="LptReferenceItem"/>
      </w:pPr>
      <w:r>
        <w:t xml:space="preserve">[22]</w:t>
      </w:r>
      <w:r>
        <w:t xml:space="preserve"> </w:t>
      </w:r>
      <w:r>
        <w:t xml:space="preserve">	</w:t>
      </w:r>
      <w:r>
        <w:t xml:space="preserve">GUSTAV R. Method for localizing prior-world technical schemes, reassembling claims, and avoiding mystical negative feedback[Z]. [S.l.: s.n.], 1192.</w:t>
      </w:r>
    </w:p>
    <w:bookmarkEnd w:id="71"/>
    <w:bookmarkStart w:id="72" w:name="ref-toyohashi2024makeineSpecial"/>
    <w:p>
      <w:pPr>
        <w:pStyle w:val="LptReferenceItem"/>
      </w:pPr>
      <w:r>
        <w:t xml:space="preserve">[23]</w:t>
      </w:r>
      <w:r>
        <w:t xml:space="preserve"> </w:t>
      </w:r>
      <w:r>
        <w:t xml:space="preserve">	</w:t>
      </w:r>
      <w:r>
        <w:rPr>
          <w:rFonts w:hint="eastAsia"/>
        </w:rPr>
        <w:t xml:space="preserve">温水和彦,</w:t>
      </w:r>
      <w:r>
        <w:t xml:space="preserve"> </w:t>
      </w:r>
      <w:r>
        <w:rPr>
          <w:rFonts w:hint="eastAsia"/>
        </w:rPr>
        <w:t xml:space="preserve">丰桥青春观察编辑部.</w:t>
      </w:r>
      <w:r>
        <w:t xml:space="preserve"> </w:t>
      </w:r>
      <w:r>
        <w:rPr>
          <w:rFonts w:hint="eastAsia"/>
        </w:rPr>
        <w:t xml:space="preserve">丰桥青春观察：校园关系网络、告白失败率与便当交换行为的连续观测专号[J].</w:t>
      </w:r>
      <w:r>
        <w:t xml:space="preserve"> </w:t>
      </w:r>
      <w:r>
        <w:rPr>
          <w:rFonts w:hint="eastAsia"/>
        </w:rPr>
        <w:t xml:space="preserve">丰桥青春观察：校园关系网络、告白失败率与便当交换行为的连续观测专号,</w:t>
      </w:r>
      <w:r>
        <w:t xml:space="preserve"> 2024, 7(8).</w:t>
      </w:r>
    </w:p>
    <w:bookmarkEnd w:id="72"/>
    <w:bookmarkStart w:id="73" w:name="ref-ranni1321leyndellSymposium"/>
    <w:p>
      <w:pPr>
        <w:pStyle w:val="LptReferenceItem"/>
      </w:pPr>
      <w:r>
        <w:t xml:space="preserve">[24]</w:t>
      </w:r>
      <w:r>
        <w:t xml:space="preserve"> </w:t>
      </w:r>
      <w:r>
        <w:t xml:space="preserve">	</w:t>
      </w:r>
      <w:r>
        <w:t xml:space="preserve">RANNI THE W, OFNIR G</w:t>
      </w:r>
      <w:r>
        <w:t xml:space="preserve">. Proceedings of the first leyndell joint symposium on grace measurement, lunar phase, and omen classification[M]. Leyndell: Royal Capital Proceedings Office, 1321: 1-418.</w:t>
      </w:r>
    </w:p>
    <w:bookmarkEnd w:id="73"/>
    <w:bookmarkStart w:id="75" w:name="ref-allmind621arenaBench"/>
    <w:p>
      <w:pPr>
        <w:pStyle w:val="LptReferenceItem"/>
      </w:pPr>
      <w:r>
        <w:t xml:space="preserve">[25]</w:t>
      </w:r>
      <w:r>
        <w:t xml:space="preserve"> </w:t>
      </w:r>
      <w:r>
        <w:t xml:space="preserve">	</w:t>
      </w:r>
      <w:r>
        <w:t xml:space="preserve">ALLMIND, WALTER H, AYRE, et al.</w:t>
      </w:r>
      <w:r>
        <w:t xml:space="preserve"> </w:t>
      </w:r>
      <w:r>
        <w:t xml:space="preserve">ALLMIND ArenaBench</w:t>
      </w:r>
      <w:r>
        <w:t xml:space="preserve">: AC part-combination simulation testing, training-arena target response, and frame compatibility evaluation software[Z]. [S.l.: s.n.], </w:t>
      </w:r>
      <w:r>
        <w:rPr>
          <w:rFonts w:hint="eastAsia"/>
        </w:rPr>
        <w:t xml:space="preserve">621公元.</w:t>
      </w:r>
      <w:r>
        <w:t xml:space="preserve"> </w:t>
      </w:r>
      <w:hyperlink r:id="rId74">
        <w:r>
          <w:rPr>
            <w:rStyle w:val="af"/>
          </w:rPr>
          <w:t xml:space="preserve">https://allmind.example/arena-bench</w:t>
        </w:r>
      </w:hyperlink>
      <w:r>
        <w:t xml:space="preserve">.</w:t>
      </w:r>
    </w:p>
    <w:bookmarkEnd w:id="75"/>
    <w:bookmarkStart w:id="76" w:name="ref-centrebrain4870dysonInterface"/>
    <w:p>
      <w:pPr>
        <w:pStyle w:val="LptReferenceItem"/>
      </w:pPr>
      <w:r>
        <w:t xml:space="preserve">[26]</w:t>
      </w:r>
      <w:r>
        <w:t xml:space="preserve"> </w:t>
      </w:r>
      <w:r>
        <w:t xml:space="preserve">	</w:t>
      </w:r>
      <w:r>
        <w:t xml:space="preserve">CENTREBRAIN, ICARUS. Interstellar standard for solar-sail swarm node addressing, ray-receiver safety margin, and dyson-shell assembly interfaces[Z]. [S.l.: s.n.], 4870.</w:t>
      </w:r>
    </w:p>
    <w:bookmarkEnd w:id="76"/>
    <w:bookmarkStart w:id="77" w:name="ref-ueg2058heavyFusionScaleup"/>
    <w:p>
      <w:pPr>
        <w:pStyle w:val="LptReferenceItem"/>
      </w:pPr>
      <w:r>
        <w:t xml:space="preserve">[27]</w:t>
      </w:r>
      <w:r>
        <w:t xml:space="preserve"> </w:t>
      </w:r>
      <w:r>
        <w:t xml:space="preserve">	</w:t>
      </w:r>
      <w:r>
        <w:rPr>
          <w:rFonts w:hint="eastAsia"/>
        </w:rPr>
        <w:t xml:space="preserve">地球联合政府行星发动机工程验证组,</w:t>
      </w:r>
      <w:r>
        <w:t xml:space="preserve"> </w:t>
      </w:r>
      <w:r>
        <w:rPr>
          <w:rFonts w:hint="eastAsia"/>
        </w:rPr>
        <w:t xml:space="preserve">刘培强.</w:t>
      </w:r>
      <w:r>
        <w:t xml:space="preserve"> </w:t>
      </w:r>
      <w:r>
        <w:rPr>
          <w:rFonts w:hint="eastAsia"/>
        </w:rPr>
        <w:t xml:space="preserve">重核聚变等离子体约束尺度放大、喷流相干保持与行星发动机阵列工程化验证报告:</w:t>
      </w:r>
      <w:r>
        <w:t xml:space="preserve"> UEG-PEV-2058-17[R]. </w:t>
      </w:r>
      <w:r>
        <w:rPr>
          <w:rFonts w:hint="eastAsia"/>
        </w:rPr>
        <w:t xml:space="preserve">北京:</w:t>
      </w:r>
      <w:r>
        <w:t xml:space="preserve"> </w:t>
      </w:r>
      <w:r>
        <w:rPr>
          <w:rFonts w:hint="eastAsia"/>
        </w:rPr>
        <w:t xml:space="preserve">地球联合政府行星发动机工程验证组,</w:t>
      </w:r>
      <w:r>
        <w:t xml:space="preserve"> 2058.</w:t>
      </w:r>
    </w:p>
    <w:bookmarkEnd w:id="77"/>
    <w:bookmarkStart w:id="78" w:name="ref-gotoh2023emergencyStickyNote"/>
    <w:p>
      <w:pPr>
        <w:pStyle w:val="LptReferenceItem"/>
      </w:pPr>
      <w:r>
        <w:t xml:space="preserve">[28]</w:t>
      </w:r>
      <w:r>
        <w:t xml:space="preserve"> </w:t>
      </w:r>
      <w:r>
        <w:t xml:space="preserve">	</w:t>
      </w:r>
      <w:r>
        <w:t xml:space="preserve">GOTOH H, IJICHI N. Bocchi stage-emergency sticky note: Look at nijika, count four beats, and keep the volume below six before disappearing[Z]. [S.l.: s.n.], 2023.</w:t>
      </w:r>
    </w:p>
    <w:bookmarkEnd w:id="78"/>
    <w:bookmarkEnd w:id="79"/>
    <w:sectPr w:rsidR="001B4B1E" w:rsidSect="005A3C66">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LMRoman12">
    <w:panose1 w:val="02000503020200000003"/>
    <w:charset w:val="00"/>
    <w:family w:val="modern"/>
    <w:notTrueType/>
    <w:pitch w:val="variable"/>
    <w:sig w:usb0="20000027" w:usb1="0000007F" w:usb2="00000000" w:usb3="00000000" w:csb0="00000193"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ns1="http://schemas.openxmlformats.org/markup-compatibility/2006" xmlns:ns2="http://schemas.microsoft.com/office/word/2012/wordml" xmlns:ns3="http://schemas.microsoft.com/office/word/2016/wordml/cid" xmlns:w="http://schemas.openxmlformats.org/wordprocessingml/2006/main" ns1:Ignorable="w14 w15 w16se w16cid w16 w16cex w16sdtdh w16sdtfl w16du wp14">
  <w:abstractNum ns2:restartNumberingAfterBreak="0" w:abstractNumId="0">
    <w:nsid w:val="0000A990"/>
    <w:multiLevelType w:val="multilevel"/>
    <w:tmpl w:val="E1169774"/>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ns2:restartNumberingAfterBreak="0" w:abstractNumId="1">
    <w:nsid w:val="3A494C13"/>
    <w:multiLevelType w:val="hybridMultilevel"/>
    <w:tmpl w:val="13F2956A"/>
    <w:lvl w:ilvl="0" w:tplc="74E4D3D6">
      <w:start w:val="1"/>
      <w:numFmt w:val="decimal"/>
      <w:lvlText w:val="%1"/>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ns2:restartNumberingAfterBreak="0" w:abstractNumId="2">
    <w:nsid w:val="54D53319"/>
    <w:multiLevelType w:val="multilevel"/>
    <w:tmpl w:val="E5F81554"/>
    <w:lvl w:ilvl="0">
      <w:start w:val="1"/>
      <w:numFmt w:val="decimal"/>
      <w:lvlText w:val="%1"/>
      <w:lvlJc w:val="left"/>
      <w:pPr>
        <w:tabs>
          <w:tab w:pos="360" w:val="num"/>
        </w:tabs>
        <w:ind w:hanging="360" w:left="360"/>
      </w:pPr>
    </w:lvl>
    <w:lvl w:ilvl="1">
      <w:start w:val="1"/>
      <w:numFmt w:val="decimal"/>
      <w:lvlText w:val="%1.%2"/>
      <w:lvlJc w:val="left"/>
      <w:pPr>
        <w:tabs>
          <w:tab w:pos="540" w:val="num"/>
        </w:tabs>
        <w:ind w:hanging="360" w:left="540"/>
      </w:pPr>
    </w:lvl>
    <w:lvl w:ilvl="2">
      <w:start w:val="1"/>
      <w:numFmt w:val="decimal"/>
      <w:lvlText w:val="%1.%2.%3"/>
      <w:lvlJc w:val="left"/>
      <w:pPr>
        <w:tabs>
          <w:tab w:pos="720" w:val="num"/>
        </w:tabs>
        <w:ind w:hanging="360" w:left="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ns2:restartNumberingAfterBreak="0" w:abstractNumId="3">
    <w:nsid w:val="63C8339E"/>
    <w:multiLevelType w:val="hybridMultilevel"/>
    <w:tmpl w:val="A672CC52"/>
    <w:lvl w:ilvl="0" w:tplc="131A2B7A">
      <w:start w:val="1"/>
      <w:numFmt w:val="decimal"/>
      <w:lvlText w:val="1.%1."/>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ns2:restartNumberingAfterBreak="0" w:abstractNumId="4">
    <w:nsid w:val="70066944"/>
    <w:multiLevelType w:val="multilevel"/>
    <w:tmpl w:val="41A2572A"/>
    <w:lvl w:ilvl="0">
      <w:start w:val="1"/>
      <w:numFmt w:val="decimal"/>
      <w:pStyle w:val="LptHeading1"/>
      <w:lvlText w:val="%1"/>
      <w:lvlJc w:val="left"/>
      <w:pPr>
        <w:tabs>
          <w:tab w:pos="360" w:val="num"/>
        </w:tabs>
        <w:ind w:hanging="360" w:left="360"/>
      </w:pPr>
    </w:lvl>
    <w:lvl w:ilvl="1">
      <w:start w:val="1"/>
      <w:numFmt w:val="decimal"/>
      <w:pStyle w:val="LptHeading2"/>
      <w:lvlText w:val="%1.%2"/>
      <w:lvlJc w:val="left"/>
      <w:pPr>
        <w:tabs>
          <w:tab w:pos="540" w:val="num"/>
        </w:tabs>
        <w:ind w:hanging="360" w:left="540"/>
      </w:pPr>
    </w:lvl>
    <w:lvl w:ilvl="2">
      <w:start w:val="1"/>
      <w:numFmt w:val="decimal"/>
      <w:pStyle w:val="LptHeading3"/>
      <w:lvlText w:val="%1.%2.%3"/>
      <w:lvlJc w:val="left"/>
      <w:pPr>
        <w:tabs>
          <w:tab w:pos="720" w:val="num"/>
        </w:tabs>
        <w:ind w:hanging="360" w:left="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ns3:durableId="2000958245" w:numId="1">
    <w:abstractNumId w:val="2"/>
  </w:num>
  <w:num ns3:durableId="1485312545" w:numId="2">
    <w:abstractNumId w:val="4"/>
  </w:num>
  <w:num ns3:durableId="54671412" w:numId="3">
    <w:abstractNumId w:val="0"/>
  </w:num>
  <w:num w:numId="1000">
    <w:abstractNumId w:val="990"/>
  </w:num>
  <w:abstractNum w:abstractNumId="99">
    <w:multiLevelType w:val="multilevel"/>
    <w:lvl w:ilvl="0">
      <w:start w:val="1"/>
      <w:numFmt w:val="decimal"/>
      <w:pStyle w:val="LptHeading1"/>
      <w:lvlText w:val="%1"/>
      <w:lvlJc w:val="left"/>
      <w:pPr>
        <w:tabs>
          <w:tab w:val="num" w:pos="360"/>
        </w:tabs>
        <w:ind w:left="360" w:hanging="360"/>
      </w:pPr>
    </w:lvl>
    <w:lvl w:ilvl="1">
      <w:start w:val="1"/>
      <w:numFmt w:val="decimal"/>
      <w:pStyle w:val="LptHeading2"/>
      <w:lvlText w:val="%1.%2"/>
      <w:lvlJc w:val="left"/>
      <w:pPr>
        <w:tabs>
          <w:tab w:val="num" w:pos="540"/>
        </w:tabs>
        <w:ind w:left="540" w:hanging="360"/>
      </w:pPr>
    </w:lvl>
    <w:lvl w:ilvl="2">
      <w:start w:val="1"/>
      <w:numFmt w:val="decimal"/>
      <w:pStyle w:val="LptHeading3"/>
      <w:lvlText w:val="%1.%2.%3"/>
      <w:lvlJc w:val="left"/>
      <w:pPr>
        <w:tabs>
          <w:tab w:val="num" w:pos="720"/>
        </w:tabs>
        <w:ind w:left="720" w:hanging="360"/>
      </w:pPr>
    </w:lvl>
  </w:abstractNum>
  <w:num w:numId="99">
    <w:abstractNumId w:val="99"/>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5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C54D2"/>
    <w:rsid w:val="00066123"/>
    <w:rsid w:val="000A18F9"/>
    <w:rsid w:val="000B0F81"/>
    <w:rsid w:val="000B4022"/>
    <w:rsid w:val="000C54D2"/>
    <w:rsid w:val="0015443B"/>
    <w:rsid w:val="001803BC"/>
    <w:rsid w:val="001B4810"/>
    <w:rsid w:val="001B4B1E"/>
    <w:rsid w:val="00206854"/>
    <w:rsid w:val="00225C1A"/>
    <w:rsid w:val="00241693"/>
    <w:rsid w:val="002C1006"/>
    <w:rsid w:val="002C44F6"/>
    <w:rsid w:val="002F1E61"/>
    <w:rsid w:val="00302B35"/>
    <w:rsid w:val="00346AEA"/>
    <w:rsid w:val="00362924"/>
    <w:rsid w:val="00367385"/>
    <w:rsid w:val="00384EFB"/>
    <w:rsid w:val="003C38F4"/>
    <w:rsid w:val="00416333"/>
    <w:rsid w:val="004279C1"/>
    <w:rsid w:val="00447DDA"/>
    <w:rsid w:val="004544D3"/>
    <w:rsid w:val="00465887"/>
    <w:rsid w:val="004A07E5"/>
    <w:rsid w:val="004D21B3"/>
    <w:rsid w:val="004E388F"/>
    <w:rsid w:val="004F071D"/>
    <w:rsid w:val="0050595E"/>
    <w:rsid w:val="00552AE6"/>
    <w:rsid w:val="00553FF3"/>
    <w:rsid w:val="005A3C66"/>
    <w:rsid w:val="005E2883"/>
    <w:rsid w:val="006155FE"/>
    <w:rsid w:val="00635F2B"/>
    <w:rsid w:val="00684458"/>
    <w:rsid w:val="00726F5F"/>
    <w:rsid w:val="00727092"/>
    <w:rsid w:val="00732EF5"/>
    <w:rsid w:val="00750A7F"/>
    <w:rsid w:val="0075424F"/>
    <w:rsid w:val="007728B7"/>
    <w:rsid w:val="00794DCC"/>
    <w:rsid w:val="007A70D5"/>
    <w:rsid w:val="007C0EE4"/>
    <w:rsid w:val="007D7BE7"/>
    <w:rsid w:val="00805ABF"/>
    <w:rsid w:val="008404E7"/>
    <w:rsid w:val="0086435E"/>
    <w:rsid w:val="00886CAC"/>
    <w:rsid w:val="008F15BF"/>
    <w:rsid w:val="00903612"/>
    <w:rsid w:val="0095462D"/>
    <w:rsid w:val="0096104A"/>
    <w:rsid w:val="00964177"/>
    <w:rsid w:val="00976251"/>
    <w:rsid w:val="0098043E"/>
    <w:rsid w:val="00994056"/>
    <w:rsid w:val="009D59CE"/>
    <w:rsid w:val="009D5FC8"/>
    <w:rsid w:val="009F2125"/>
    <w:rsid w:val="009F470A"/>
    <w:rsid w:val="009F6C41"/>
    <w:rsid w:val="00A00546"/>
    <w:rsid w:val="00A1658C"/>
    <w:rsid w:val="00A20636"/>
    <w:rsid w:val="00A52D26"/>
    <w:rsid w:val="00A66820"/>
    <w:rsid w:val="00A66BAD"/>
    <w:rsid w:val="00A83F4E"/>
    <w:rsid w:val="00AA600A"/>
    <w:rsid w:val="00AC7592"/>
    <w:rsid w:val="00AD0A81"/>
    <w:rsid w:val="00AE7D59"/>
    <w:rsid w:val="00B251A4"/>
    <w:rsid w:val="00B45DA6"/>
    <w:rsid w:val="00BD2699"/>
    <w:rsid w:val="00C04D99"/>
    <w:rsid w:val="00C141F4"/>
    <w:rsid w:val="00C60195"/>
    <w:rsid w:val="00CA4EB9"/>
    <w:rsid w:val="00CE772F"/>
    <w:rsid w:val="00D136F3"/>
    <w:rsid w:val="00D16813"/>
    <w:rsid w:val="00D911C4"/>
    <w:rsid w:val="00DB6A86"/>
    <w:rsid w:val="00E23DF8"/>
    <w:rsid w:val="00E44BBA"/>
    <w:rsid w:val="00ED2B36"/>
    <w:rsid w:val="00F3683E"/>
    <w:rsid w:val="00F56A94"/>
    <w:rsid w:val="00FA1371"/>
    <w:rsid w:val="00FB0631"/>
    <w:rsid w:val="00FD7305"/>
    <w:rsid w:val="00FF4E68"/>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ns1="http://schemas.openxmlformats.org/markup-compatibility/2006" xmlns:w="http://schemas.openxmlformats.org/wordprocessingml/2006/main" ns1: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link w:val="10"/>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2" w:type="paragraph">
    <w:name w:val="heading 2"/>
    <w:basedOn w:val="a"/>
    <w:next w:val="a0"/>
    <w:link w:val="20"/>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3" w:type="paragraph">
    <w:name w:val="heading 3"/>
    <w:basedOn w:val="a"/>
    <w:next w:val="a0"/>
    <w:link w:val="30"/>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4" w:type="paragraph">
    <w:name w:val="heading 4"/>
    <w:basedOn w:val="a"/>
    <w:next w:val="a0"/>
    <w:link w:val="40"/>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5" w:type="paragraph">
    <w:name w:val="heading 5"/>
    <w:basedOn w:val="a"/>
    <w:next w:val="a0"/>
    <w:link w:val="50"/>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LptBodyText"/>
    <w:qFormat/>
    <w:pPr>
      <w:spacing w:after="36" w:before="36"/>
    </w:pPr>
  </w:style>
  <w:style w:styleId="a4" w:type="paragraph">
    <w:name w:val="Title"/>
    <w:basedOn w:val="a"/>
    <w:next w:val="a0"/>
    <w:link w:val="a5"/>
    <w:uiPriority w:val="10"/>
    <w:qFormat/>
    <w:rsid w:val="00A10FD9"/>
    <w:pPr>
      <w:spacing w:after="80"/>
      <w:contextualSpacing/>
      <w:jc w:val="center"/>
    </w:pPr>
    <w:rPr>
      <w:rFonts w:asciiTheme="majorHAnsi" w:cstheme="majorBidi" w:eastAsiaTheme="majorEastAsia" w:hAnsiTheme="majorHAnsi"/>
      <w:sz w:val="56"/>
      <w:szCs w:val="56"/>
    </w:rPr>
  </w:style>
  <w:style w:customStyle="1" w:styleId="a5" w:type="character">
    <w:name w:val="标题 字符"/>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LptBodyText"/>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qFormat/>
    <w:pPr>
      <w:keepNext/>
      <w:keepLines/>
      <w:spacing w:after="0" w:before="300"/>
      <w:jc w:val="center"/>
    </w:pPr>
    <w:rPr>
      <w:b/>
      <w:sz w:val="20"/>
      <w:szCs w:val="20"/>
    </w:rPr>
  </w:style>
  <w:style w:customStyle="1" w:styleId="LptAbstract" w:type="paragraph">
    <w:name w:val="LptAbstract"/>
    <w:basedOn w:val="a"/>
    <w:next w:val="LptBodyText"/>
    <w:qFormat/>
    <w:rsid w:val="0086435E"/>
    <w:pPr>
      <w:keepNext/>
      <w:keepLines/>
      <w:spacing w:after="240" w:before="720" w:line="360" w:lineRule="exact"/>
      <w:ind w:left="200" w:leftChars="200" w:right="200" w:rightChars="200"/>
      <w:jc w:val="both"/>
    </w:pPr>
    <w:rPr>
      <w:rFonts w:ascii="LMRoman12" w:eastAsia="宋体" w:hAnsi="LMRoman12"/>
      <w:spacing w:val="-8"/>
      <w:szCs w:val="20"/>
    </w:rPr>
  </w:style>
  <w:style w:styleId="a9" w:type="paragraph">
    <w:name w:val="Bibliography"/>
    <w:basedOn w:val="a"/>
    <w:qFormat/>
  </w:style>
  <w:style w:customStyle="1" w:styleId="10" w:type="character">
    <w:name w:val="标题 1 字符"/>
    <w:basedOn w:val="a1"/>
    <w:link w:val="1"/>
    <w:uiPriority w:val="9"/>
    <w:rsid w:val="00A10FD9"/>
    <w:rPr>
      <w:rFonts w:asciiTheme="majorHAnsi" w:cstheme="majorBidi" w:eastAsiaTheme="majorEastAsia" w:hAnsiTheme="majorHAnsi"/>
      <w:color w:themeColor="accent1" w:themeShade="BF" w:val="0F4761"/>
      <w:sz w:val="40"/>
      <w:szCs w:val="40"/>
    </w:rPr>
  </w:style>
  <w:style w:customStyle="1" w:styleId="20" w:type="character">
    <w:name w:val="标题 2 字符"/>
    <w:basedOn w:val="a1"/>
    <w:link w:val="2"/>
    <w:uiPriority w:val="9"/>
    <w:semiHidden/>
    <w:rsid w:val="00A10FD9"/>
    <w:rPr>
      <w:rFonts w:asciiTheme="majorHAnsi" w:cstheme="majorBidi" w:eastAsiaTheme="majorEastAsia" w:hAnsiTheme="majorHAnsi"/>
      <w:color w:themeColor="accent1" w:themeShade="BF" w:val="0F4761"/>
      <w:sz w:val="32"/>
      <w:szCs w:val="32"/>
    </w:rPr>
  </w:style>
  <w:style w:customStyle="1" w:styleId="30" w:type="character">
    <w:name w:val="标题 3 字符"/>
    <w:basedOn w:val="a1"/>
    <w:link w:val="3"/>
    <w:uiPriority w:val="9"/>
    <w:semiHidden/>
    <w:rsid w:val="00A10FD9"/>
    <w:rPr>
      <w:rFonts w:cstheme="majorBidi" w:eastAsiaTheme="majorEastAsia"/>
      <w:color w:themeColor="accent1" w:themeShade="BF" w:val="0F4761"/>
      <w:sz w:val="28"/>
      <w:szCs w:val="28"/>
    </w:rPr>
  </w:style>
  <w:style w:customStyle="1" w:styleId="40" w:type="character">
    <w:name w:val="标题 4 字符"/>
    <w:basedOn w:val="a1"/>
    <w:link w:val="4"/>
    <w:uiPriority w:val="9"/>
    <w:semiHidden/>
    <w:rsid w:val="00A10FD9"/>
    <w:rPr>
      <w:rFonts w:cstheme="majorBidi" w:eastAsiaTheme="majorEastAsia"/>
      <w:i/>
      <w:iCs/>
      <w:color w:themeColor="accent1" w:themeShade="BF" w:val="0F4761"/>
    </w:rPr>
  </w:style>
  <w:style w:customStyle="1" w:styleId="50" w:type="character">
    <w:name w:val="标题 5 字符"/>
    <w:basedOn w:val="a1"/>
    <w:link w:val="5"/>
    <w:uiPriority w:val="9"/>
    <w:semiHidden/>
    <w:rsid w:val="00A10FD9"/>
    <w:rPr>
      <w:rFonts w:cstheme="majorBidi" w:eastAsiaTheme="majorEastAsia"/>
      <w:color w:themeColor="accent1" w:themeShade="BF" w:val="0F4761"/>
    </w:rPr>
  </w:style>
  <w:style w:customStyle="1" w:styleId="60" w:type="character">
    <w:name w:val="标题 6 字符"/>
    <w:basedOn w:val="a1"/>
    <w:link w:val="6"/>
    <w:uiPriority w:val="9"/>
    <w:semiHidden/>
    <w:rsid w:val="00A10FD9"/>
    <w:rPr>
      <w:rFonts w:cstheme="majorBidi" w:eastAsiaTheme="majorEastAsia"/>
      <w:i/>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A10FD9"/>
    <w:rPr>
      <w:rFonts w:cstheme="majorBidi" w:eastAsiaTheme="majorEastAsia"/>
      <w:i/>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rsid w:val="00FF4E68"/>
    <w:pPr>
      <w:keepNext/>
      <w:jc w:val="center"/>
    </w:pPr>
  </w:style>
  <w:style w:customStyle="1" w:styleId="ad" w:type="character">
    <w:name w:val="题注 字符"/>
    <w:basedOn w:val="a1"/>
    <w:link w:val="ac"/>
  </w:style>
  <w:style w:customStyle="1" w:styleId="VerbatimChar" w:type="character">
    <w:name w:val="Verbatim Char"/>
    <w:basedOn w:val="ad"/>
    <w:link w:val="SourceCode"/>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style>
  <w:style w:customStyle="1" w:styleId="LptAuthorBlock" w:type="paragraph">
    <w:name w:val="LptAuthorBlock"/>
    <w:basedOn w:val="af0"/>
    <w:qFormat/>
    <w:rsid w:val="002C1006"/>
    <w:pPr>
      <w:spacing w:after="200" w:before="0"/>
      <w:ind w:left="0" w:right="0"/>
    </w:pPr>
    <w:rPr>
      <w:rFonts w:ascii="LMRoman12" w:eastAsia="宋体" w:hAnsi="LMRoman12"/>
      <w:i w:val="0"/>
      <w:color w:val="auto"/>
      <w:sz w:val="32"/>
    </w:rPr>
  </w:style>
  <w:style w:customStyle="1" w:styleId="LptBodyText" w:type="paragraph">
    <w:name w:val="LptBodyText"/>
    <w:basedOn w:val="a0"/>
    <w:qFormat/>
    <w:rsid w:val="007728B7"/>
    <w:pPr>
      <w:spacing w:after="0" w:before="0" w:line="360" w:lineRule="exact"/>
      <w:ind w:firstLine="200" w:firstLineChars="200"/>
      <w:jc w:val="both"/>
    </w:pPr>
    <w:rPr>
      <w:rFonts w:ascii="LMRoman12" w:eastAsia="宋体" w:hAnsi="LMRoman12"/>
      <w:spacing w:val="2"/>
    </w:rPr>
  </w:style>
  <w:style w:customStyle="1" w:styleId="LptEquationNumbered" w:type="paragraph">
    <w:name w:val="LptEquationNumbered"/>
    <w:basedOn w:val="a"/>
    <w:qFormat/>
    <w:rsid w:val="00886CAC"/>
    <w:pPr>
      <w:tabs>
        <w:tab w:pos="4678" w:val="center"/>
        <w:tab w:pos="9360" w:val="right"/>
      </w:tabs>
      <w:spacing w:after="0" w:before="100" w:beforeLines="100" w:line="360" w:lineRule="auto"/>
    </w:pPr>
    <w:rPr>
      <w:rFonts w:ascii="LMRoman12" w:eastAsia="宋体" w:hAnsi="LMRoman12"/>
    </w:rPr>
  </w:style>
  <w:style w:customStyle="1" w:styleId="LptFigureCaption" w:type="paragraph">
    <w:name w:val="LptFigureCaption"/>
    <w:basedOn w:val="a"/>
    <w:qFormat/>
    <w:rsid w:val="002C44F6"/>
    <w:pPr>
      <w:jc w:val="center"/>
    </w:pPr>
    <w:rPr>
      <w:rFonts w:ascii="LMRoman12" w:eastAsia="宋体" w:hAnsi="LMRoman12"/>
    </w:rPr>
  </w:style>
  <w:style w:customStyle="1" w:styleId="LptKeywords" w:type="paragraph">
    <w:name w:val="LptKeywords"/>
    <w:basedOn w:val="a"/>
    <w:qFormat/>
    <w:rsid w:val="0086435E"/>
    <w:pPr>
      <w:spacing w:after="360"/>
      <w:ind w:left="200" w:leftChars="200" w:right="200" w:rightChars="200"/>
      <w:jc w:val="both"/>
    </w:pPr>
    <w:rPr>
      <w:rFonts w:ascii="LMRoman12" w:eastAsia="宋体" w:hAnsi="LMRoman12"/>
      <w:spacing w:val="-12"/>
    </w:rPr>
  </w:style>
  <w:style w:customStyle="1" w:styleId="LptPaperDate" w:type="paragraph">
    <w:name w:val="LptPaperDate"/>
    <w:basedOn w:val="a"/>
    <w:qFormat/>
    <w:rsid w:val="002C1006"/>
    <w:pPr>
      <w:spacing w:after="480"/>
      <w:jc w:val="center"/>
    </w:pPr>
    <w:rPr>
      <w:rFonts w:ascii="LMRoman12" w:eastAsia="宋体" w:hAnsi="LMRoman12"/>
      <w:sz w:val="32"/>
    </w:rPr>
  </w:style>
  <w:style w:customStyle="1" w:styleId="LptPaperTitle" w:type="paragraph">
    <w:name w:val="LptPaperTitle"/>
    <w:basedOn w:val="a"/>
    <w:qFormat/>
    <w:rsid w:val="00066123"/>
    <w:pPr>
      <w:spacing w:after="480" w:before="720"/>
      <w:jc w:val="center"/>
    </w:pPr>
    <w:rPr>
      <w:rFonts w:ascii="LMRoman12" w:eastAsia="宋体" w:hAnsi="LMRoman12"/>
      <w:sz w:val="40"/>
    </w:rPr>
  </w:style>
  <w:style w:customStyle="1" w:styleId="LptReferenceItem" w:type="paragraph">
    <w:name w:val="LptReferenceItem"/>
    <w:basedOn w:val="a"/>
    <w:qFormat/>
    <w:rsid w:val="000B0F81"/>
    <w:pPr>
      <w:wordWrap w:val="0"/>
      <w:spacing w:after="50" w:afterLines="50" w:line="360" w:lineRule="exact"/>
      <w:ind w:hanging="150" w:hangingChars="150" w:left="150"/>
      <w:jc w:val="both"/>
    </w:pPr>
    <w:rPr>
      <w:rFonts w:ascii="LMRoman12" w:eastAsia="宋体" w:hAnsi="LMRoman12"/>
    </w:rPr>
  </w:style>
  <w:style w:customStyle="1" w:styleId="LptReferencesHeading" w:type="paragraph">
    <w:name w:val="LptReferencesHeading"/>
    <w:basedOn w:val="a"/>
    <w:qFormat/>
    <w:rsid w:val="00FA1371"/>
    <w:pPr>
      <w:spacing w:before="640"/>
      <w:outlineLvl w:val="0"/>
    </w:pPr>
    <w:rPr>
      <w:rFonts w:ascii="LMRoman12" w:eastAsia="黑体" w:hAnsi="LMRoman12"/>
      <w:sz w:val="32"/>
    </w:rPr>
  </w:style>
  <w:style w:customStyle="1" w:styleId="LptTableBody" w:type="paragraph">
    <w:name w:val="LptTableBody"/>
    <w:basedOn w:val="a"/>
    <w:qFormat/>
    <w:rsid w:val="00A52D26"/>
    <w:pPr>
      <w:spacing w:after="60" w:before="60"/>
    </w:pPr>
    <w:rPr>
      <w:rFonts w:ascii="LMRoman12" w:eastAsia="宋体" w:hAnsi="LMRoman12"/>
    </w:rPr>
  </w:style>
  <w:style w:customStyle="1" w:styleId="LptTableCaption" w:type="paragraph">
    <w:name w:val="LptTableCaption"/>
    <w:basedOn w:val="LptBodyText"/>
    <w:qFormat/>
    <w:rsid w:val="004A07E5"/>
    <w:pPr>
      <w:jc w:val="center"/>
    </w:pPr>
  </w:style>
  <w:style w:customStyle="1" w:styleId="LptTableHeader" w:type="paragraph">
    <w:name w:val="LptTableHeader"/>
    <w:basedOn w:val="a"/>
    <w:qFormat/>
    <w:rsid w:val="00C60195"/>
    <w:pPr>
      <w:spacing w:after="120" w:before="120"/>
    </w:pPr>
    <w:rPr>
      <w:rFonts w:ascii="LMRoman12" w:eastAsia="宋体" w:hAnsi="LMRoman12"/>
    </w:rPr>
  </w:style>
  <w:style w:customStyle="1" w:styleId="SourceCode" w:type="paragraph">
    <w:name w:val="Source Code"/>
    <w:basedOn w:val="a"/>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customStyle="1" w:styleId="LptHeading1" w:type="paragraph">
    <w:name w:val="LptHeading1"/>
    <w:basedOn w:val="a"/>
    <w:next w:val="LptBodyText"/>
    <w:uiPriority w:val="9"/>
    <w:qFormat/>
    <w:rsid w:val="00552AE6"/>
    <w:pPr>
      <w:keepNext/>
      <w:keepLines/>
      <w:numPr>
        <w:ilvl w:val="0"/>
        <w:numId w:val="99"/>
      </w:numPr>
      <w:spacing w:after="240" w:before="480"/>
      <w:ind w:firstLine="0" w:left="0"/>
      <w:outlineLvl w:val="0"/>
    </w:pPr>
    <w:rPr>
      <w:rFonts w:ascii="LMRoman12" w:cstheme="majorBidi" w:eastAsia="黑体" w:hAnsi="LMRoman12"/>
      <w:sz w:val="36"/>
      <w:szCs w:val="40"/>
    </w:rPr>
  </w:style>
  <w:style w:customStyle="1" w:styleId="LptHeading2" w:type="paragraph">
    <w:name w:val="LptHeading2"/>
    <w:basedOn w:val="a"/>
    <w:next w:val="LptBodyText"/>
    <w:uiPriority w:val="9"/>
    <w:unhideWhenUsed/>
    <w:qFormat/>
    <w:rsid w:val="00684458"/>
    <w:pPr>
      <w:keepNext/>
      <w:keepLines/>
      <w:numPr>
        <w:ilvl w:val="1"/>
        <w:numId w:val="99"/>
      </w:numPr>
      <w:spacing w:after="120" w:before="240"/>
      <w:ind w:firstLine="0" w:left="0"/>
      <w:outlineLvl w:val="1"/>
    </w:pPr>
    <w:rPr>
      <w:rFonts w:ascii="LMRoman12" w:cstheme="majorBidi" w:eastAsia="黑体" w:hAnsi="LMRoman12"/>
      <w:sz w:val="32"/>
      <w:szCs w:val="32"/>
    </w:rPr>
  </w:style>
  <w:style w:customStyle="1" w:styleId="LptHeading3" w:type="paragraph">
    <w:name w:val="LptHeading3"/>
    <w:basedOn w:val="a"/>
    <w:next w:val="LptBodyText"/>
    <w:uiPriority w:val="9"/>
    <w:semiHidden/>
    <w:unhideWhenUsed/>
    <w:qFormat/>
    <w:rsid w:val="00684458"/>
    <w:pPr>
      <w:keepNext/>
      <w:keepLines/>
      <w:numPr>
        <w:ilvl w:val="2"/>
        <w:numId w:val="99"/>
      </w:numPr>
      <w:spacing w:after="160" w:before="160"/>
      <w:ind w:hanging="357" w:left="357"/>
      <w:outlineLvl w:val="2"/>
    </w:pPr>
    <w:rPr>
      <w:rFonts w:ascii="LMRoman12" w:cstheme="majorBidi" w:eastAsia="黑体" w:hAnsi="LMRoman12"/>
      <w:szCs w:val="28"/>
    </w:rPr>
  </w:style>
  <w:style w:styleId="af0" w:type="paragraph">
    <w:name w:val="Quote"/>
    <w:basedOn w:val="a"/>
    <w:next w:val="a"/>
    <w:link w:val="af1"/>
    <w:rsid w:val="00750A7F"/>
    <w:pPr>
      <w:spacing w:after="160" w:before="200"/>
      <w:ind w:left="864" w:right="864"/>
      <w:jc w:val="center"/>
    </w:pPr>
    <w:rPr>
      <w:i/>
      <w:iCs/>
      <w:color w:themeColor="text1" w:themeTint="BF" w:val="404040"/>
    </w:rPr>
  </w:style>
  <w:style w:customStyle="1" w:styleId="af1" w:type="character">
    <w:name w:val="引用 字符"/>
    <w:basedOn w:val="a1"/>
    <w:link w:val="af0"/>
    <w:rsid w:val="00750A7F"/>
    <w:rPr>
      <w:i/>
      <w:iCs/>
      <w:color w:themeColor="text1" w:themeTint="BF" w:val="4040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0" Target="numbering.xml" /><Relationship Type="http://schemas.openxmlformats.org/officeDocument/2006/relationships/styles" Id="rId19" Target="styles.xml" /><Relationship Type="http://schemas.openxmlformats.org/officeDocument/2006/relationships/settings" Id="rId18" Target="settings.xml" /><Relationship Type="http://schemas.openxmlformats.org/officeDocument/2006/relationships/webSettings" Id="rId17" Target="webSettings.xml" /><Relationship Type="http://schemas.openxmlformats.org/officeDocument/2006/relationships/fontTable" Id="rId16" Target="fontTable.xml" /><Relationship Type="http://schemas.openxmlformats.org/officeDocument/2006/relationships/theme" Id="rId15" Target="theme/theme1.xml" /><Relationship Type="http://schemas.openxmlformats.org/officeDocument/2006/relationships/footnotes" Id="rId14" Target="footnotes.xml" /><Relationship Type="http://schemas.openxmlformats.org/officeDocument/2006/relationships/comments" Id="rId13" Target="comments.xml" /><Relationship Id="rId8" Target="media/image4.svg" Type="http://schemas.openxmlformats.org/officeDocument/2006/relationships/image" /><Relationship Id="rId7" Target="media/image3.png" Type="http://schemas.openxmlformats.org/officeDocument/2006/relationships/image" /><Relationship Id="rId12" Target="media/image8.png" Type="http://schemas.openxmlformats.org/officeDocument/2006/relationships/image" /><Relationship Id="rId6" Target="media/image2.svg" Type="http://schemas.openxmlformats.org/officeDocument/2006/relationships/image" /><Relationship Id="rId11" Target="media/image7.png" Type="http://schemas.openxmlformats.org/officeDocument/2006/relationships/image" /><Relationship Id="rId5" Target="media/image1.png" Type="http://schemas.openxmlformats.org/officeDocument/2006/relationships/image" /><Relationship Id="rId10" Target="media/image6.svg" Type="http://schemas.openxmlformats.org/officeDocument/2006/relationships/image" /><Relationship Id="rId9" Target="media/image5.png" Type="http://schemas.openxmlformats.org/officeDocument/2006/relationships/image"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hyperlink" Id="rId74" Target="https://allmind.example/arena-bench" TargetMode="External" /><Relationship Type="http://schemas.openxmlformats.org/officeDocument/2006/relationships/hyperlink" Id="rId45" Target="https://archive.lingxiao.heaven/neibu/wukong/six-roots?key=&#24218;&#30003;" TargetMode="External" /><Relationship Type="http://schemas.openxmlformats.org/officeDocument/2006/relationships/hyperlink" Id="rId58" Target="https://bdarchive.nightcity.example/tactile-artifacts" TargetMode="External" /><Relationship Type="http://schemas.openxmlformats.org/officeDocument/2006/relationships/hyperlink" Id="rId52" Target="https://doi.org/10.2039/uca.cltr.144" TargetMode="External" /><Relationship Type="http://schemas.openxmlformats.org/officeDocument/2006/relationships/hyperlink" Id="rId43" Target="https://doi.org/10.2047/nmhs.18.4.233" TargetMode="External" /><Relationship Type="http://schemas.openxmlformats.org/officeDocument/2006/relationships/hyperlink" Id="rId41" Target="https://doi.org/10.2077/jnis.42.3.117" TargetMode="External" /><Relationship Type="http://schemas.openxmlformats.org/officeDocument/2006/relationships/hyperlink" Id="rId50" Target="https://doi.org/10.&#22825;&#24237;.&#23553;&#23384;/642.66" TargetMode="External" /><Relationship Type="http://schemas.openxmlformats.org/officeDocument/2006/relationships/hyperlink" Id="rId56" Target="https://hero-association.example/datasets/disaster-latency" TargetMode="External" /><Relationship Type="http://schemas.openxmlformats.org/officeDocument/2006/relationships/hyperlink" Id="rId69" Target="https://keion-gear.example/sakuragaoka/archive" TargetMode="External" /><Relationship Type="http://schemas.openxmlformats.org/officeDocument/2006/relationships/hyperlink" Id="rId54" Target="https://roundtable.example/db/relic-provenance" TargetMode="External" /></Relationships>
</file>

<file path=word/_rels/footnotes.xml.rels><?xml version="1.0" encoding="UTF-8"?><Relationships xmlns="http://schemas.openxmlformats.org/package/2006/relationships"><Relationship Type="http://schemas.openxmlformats.org/officeDocument/2006/relationships/hyperlink" Id="rId74" Target="https://allmind.example/arena-bench" TargetMode="External" /><Relationship Type="http://schemas.openxmlformats.org/officeDocument/2006/relationships/hyperlink" Id="rId45" Target="https://archive.lingxiao.heaven/neibu/wukong/six-roots?key=&#24218;&#30003;" TargetMode="External" /><Relationship Type="http://schemas.openxmlformats.org/officeDocument/2006/relationships/hyperlink" Id="rId58" Target="https://bdarchive.nightcity.example/tactile-artifacts" TargetMode="External" /><Relationship Type="http://schemas.openxmlformats.org/officeDocument/2006/relationships/hyperlink" Id="rId52" Target="https://doi.org/10.2039/uca.cltr.144" TargetMode="External" /><Relationship Type="http://schemas.openxmlformats.org/officeDocument/2006/relationships/hyperlink" Id="rId43" Target="https://doi.org/10.2047/nmhs.18.4.233" TargetMode="External" /><Relationship Type="http://schemas.openxmlformats.org/officeDocument/2006/relationships/hyperlink" Id="rId41" Target="https://doi.org/10.2077/jnis.42.3.117" TargetMode="External" /><Relationship Type="http://schemas.openxmlformats.org/officeDocument/2006/relationships/hyperlink" Id="rId50" Target="https://doi.org/10.&#22825;&#24237;.&#23553;&#23384;/642.66" TargetMode="External" /><Relationship Type="http://schemas.openxmlformats.org/officeDocument/2006/relationships/hyperlink" Id="rId56" Target="https://hero-association.example/datasets/disaster-latency" TargetMode="External" /><Relationship Type="http://schemas.openxmlformats.org/officeDocument/2006/relationships/hyperlink" Id="rId69" Target="https://keion-gear.example/sakuragaoka/archive" TargetMode="External" /><Relationship Type="http://schemas.openxmlformats.org/officeDocument/2006/relationships/hyperlink" Id="rId54" Target="https://roundtable.example/db/relic-provena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7</Pages>
  <Words>1757</Words>
  <Characters>10015</Characters>
  <Application>Microsoft Office Word</Application>
  <DocSecurity>0</DocSecurity>
  <Lines>83</Lines>
  <Paragraphs>23</Paragraphs>
  <ScaleCrop>false</ScaleCrop>
  <Company/>
  <LinksUpToDate>false</LinksUpToDate>
  <CharactersWithSpaces>11749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2026-06-26T03:56:49Z</dcterms:created>
  <dcterms:modified xsi:type="dcterms:W3CDTF">2026-06-26T03:56:49Z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reference.bib</vt:lpwstr>
  </property>
  <property fmtid="{D5CDD505-2E9C-101B-9397-08002B2CF9AE}" pid="3" name="csl">
    <vt:lpwstr>gbt7714.csl</vt:lpwstr>
  </property>
</Properties>
</file>