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EF84D" w14:textId="77777777" w:rsidR="000C54D2" w:rsidRPr="009F470A" w:rsidRDefault="00000000" w:rsidP="009F470A">
      <w:pPr>
        <w:pStyle w:val="LptPaperTitle"/>
      </w:pPr>
      <w:r>
        <w:rPr>
          <w:rFonts w:hint="eastAsia"/>
        </w:rPr>
        <w:t>适合</w:t>
      </w:r>
      <w:proofErr w:type="spellStart"/>
      <w:r>
        <w:rPr>
          <w:rFonts w:hint="eastAsia"/>
        </w:rPr>
        <w:t>Pandoc</w:t>
      </w:r>
      <w:proofErr w:type="spellEnd"/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的极</w:t>
      </w:r>
      <w:proofErr w:type="gramStart"/>
      <w:r>
        <w:rPr>
          <w:rFonts w:hint="eastAsia"/>
        </w:rPr>
        <w:t>简论文</w:t>
      </w:r>
      <w:proofErr w:type="gramEnd"/>
      <w:r>
        <w:rPr>
          <w:rFonts w:hint="eastAsia"/>
        </w:rPr>
        <w:t>手稿示例</w:t>
      </w:r>
    </w:p>
    <w:p w14:paraId="67E874B1" w14:textId="77777777" w:rsidR="000C54D2" w:rsidRDefault="00000000">
      <w:pPr>
        <w:pStyle w:val="LptAuthorBlock"/>
        <w:ind w:firstLine="480"/>
      </w:pPr>
      <w:r>
        <w:rPr>
          <w:rFonts w:hint="eastAsia"/>
        </w:rPr>
        <w:t>张三</w:t>
      </w:r>
      <w:r>
        <w:t>    </w:t>
      </w:r>
      <w:r>
        <w:rPr>
          <w:rFonts w:hint="eastAsia"/>
        </w:rPr>
        <w:t>李四</w:t>
      </w:r>
    </w:p>
    <w:p w14:paraId="5BD19885" w14:textId="77777777" w:rsidR="000C54D2" w:rsidRDefault="00000000">
      <w:pPr>
        <w:pStyle w:val="LptPaperDate"/>
        <w:ind w:firstLine="480"/>
      </w:pPr>
      <w:r>
        <w:t>2026-06-02</w:t>
      </w:r>
    </w:p>
    <w:p w14:paraId="12D50794" w14:textId="77777777" w:rsidR="000C54D2" w:rsidRDefault="00000000">
      <w:pPr>
        <w:pStyle w:val="LptAbstract"/>
        <w:ind w:left="480" w:right="480"/>
      </w:pPr>
      <w:r>
        <w:rPr>
          <w:rFonts w:hint="eastAsia"/>
          <w:b/>
          <w:bCs/>
        </w:rPr>
        <w:t>摘要：</w:t>
      </w:r>
      <w:r>
        <w:rPr>
          <w:rFonts w:hint="eastAsia"/>
        </w:rPr>
        <w:t>本文给出一个</w:t>
      </w:r>
      <w:proofErr w:type="gramStart"/>
      <w:r>
        <w:rPr>
          <w:rFonts w:hint="eastAsia"/>
        </w:rPr>
        <w:t>极</w:t>
      </w:r>
      <w:proofErr w:type="gramEnd"/>
      <w:r>
        <w:rPr>
          <w:rFonts w:hint="eastAsia"/>
        </w:rPr>
        <w:t>简</w:t>
      </w:r>
      <w:r>
        <w:rPr>
          <w:rFonts w:hint="eastAsia"/>
        </w:rPr>
        <w:t>LaTeX</w:t>
      </w:r>
      <w:r>
        <w:rPr>
          <w:rFonts w:hint="eastAsia"/>
        </w:rPr>
        <w:t>论文手稿示例，目标是在保留论文常用语义元素的同时，尽量避免复杂期刊排版命令，从而提高</w:t>
      </w:r>
      <w:proofErr w:type="spellStart"/>
      <w:r>
        <w:rPr>
          <w:rFonts w:hint="eastAsia"/>
        </w:rPr>
        <w:t>Pandoc</w:t>
      </w:r>
      <w:proofErr w:type="spellEnd"/>
      <w:r>
        <w:rPr>
          <w:rFonts w:hint="eastAsia"/>
        </w:rPr>
        <w:t>转换为</w:t>
      </w:r>
      <w:r>
        <w:rPr>
          <w:rFonts w:hint="eastAsia"/>
        </w:rPr>
        <w:t>Word</w:t>
      </w:r>
      <w:r>
        <w:rPr>
          <w:rFonts w:hint="eastAsia"/>
        </w:rPr>
        <w:t>文档时的稳定性。模板包含标题、作者、摘要、关键词、章节层级、图表、公式、交叉引用和参考文献等常见内容。</w:t>
      </w:r>
    </w:p>
    <w:p w14:paraId="11906367" w14:textId="77777777" w:rsidR="000C54D2" w:rsidRPr="00465887" w:rsidRDefault="00000000" w:rsidP="00465887">
      <w:pPr>
        <w:pStyle w:val="LptKeywords"/>
        <w:ind w:left="480" w:right="480"/>
      </w:pPr>
      <w:r>
        <w:rPr>
          <w:rFonts w:hint="eastAsia"/>
          <w:b/>
          <w:bCs/>
        </w:rPr>
        <w:t>关键词：</w:t>
      </w:r>
      <w:proofErr w:type="spellStart"/>
      <w:r>
        <w:rPr>
          <w:rFonts w:hint="eastAsia"/>
        </w:rPr>
        <w:t>Pandoc</w:t>
      </w:r>
      <w:proofErr w:type="spellEnd"/>
      <w:r>
        <w:rPr>
          <w:rFonts w:hint="eastAsia"/>
        </w:rPr>
        <w:t>；</w:t>
      </w:r>
      <w:r>
        <w:rPr>
          <w:rFonts w:hint="eastAsia"/>
        </w:rPr>
        <w:t>LaTeX</w:t>
      </w:r>
      <w:r>
        <w:rPr>
          <w:rFonts w:hint="eastAsia"/>
        </w:rPr>
        <w:t>；</w:t>
      </w:r>
      <w:r>
        <w:rPr>
          <w:rFonts w:hint="eastAsia"/>
        </w:rPr>
        <w:t>Word</w:t>
      </w:r>
      <w:r>
        <w:rPr>
          <w:rFonts w:hint="eastAsia"/>
        </w:rPr>
        <w:t>；论文手稿；交叉引用</w:t>
      </w:r>
    </w:p>
    <w:p w14:paraId="6B422774" w14:textId="77777777" w:rsidR="000C54D2" w:rsidRDefault="00000000" w:rsidP="00BD2699">
      <w:pPr>
        <w:pStyle w:val="LptHeading1"/>
      </w:pPr>
      <w:bookmarkStart w:id="0" w:name="sec:introduction"/>
      <w:r>
        <w:rPr>
          <w:rFonts w:hint="eastAsia"/>
        </w:rPr>
        <w:t>引言</w:t>
      </w:r>
    </w:p>
    <w:bookmarkEnd w:id="0"/>
    <w:p w14:paraId="63F08074" w14:textId="77777777" w:rsidR="000C54D2" w:rsidRDefault="00000000">
      <w:pPr>
        <w:pStyle w:val="LptBodyText"/>
        <w:ind w:firstLine="484"/>
      </w:pPr>
      <w:r>
        <w:rPr>
          <w:rFonts w:hint="eastAsia"/>
        </w:rPr>
        <w:t>论文初稿通常更重视内容结构和审阅便利性，而不是期刊最终排版。为了便于转换为</w:t>
      </w:r>
      <w:r>
        <w:rPr>
          <w:rFonts w:hint="eastAsia"/>
        </w:rPr>
        <w:t>Word</w:t>
      </w:r>
      <w:r>
        <w:rPr>
          <w:rFonts w:hint="eastAsia"/>
        </w:rPr>
        <w:t>，建议手稿中优先使用标准</w:t>
      </w:r>
      <w:r>
        <w:rPr>
          <w:rFonts w:hint="eastAsia"/>
        </w:rPr>
        <w:t>LaTeX</w:t>
      </w:r>
      <w:r>
        <w:rPr>
          <w:rFonts w:hint="eastAsia"/>
        </w:rPr>
        <w:t>命令，例如章节命令、图表环境、公式环境和普通引用命令。</w:t>
      </w:r>
    </w:p>
    <w:p w14:paraId="1C7CD0F6" w14:textId="77777777" w:rsidR="000C54D2" w:rsidRDefault="00000000">
      <w:pPr>
        <w:pStyle w:val="LptBodyText"/>
        <w:ind w:firstLine="484"/>
      </w:pPr>
      <w:r>
        <w:rPr>
          <w:rFonts w:hint="eastAsia"/>
        </w:rPr>
        <w:t>本文的结构如下：第</w:t>
      </w:r>
      <w:r w:rsidR="000C54D2">
        <w:fldChar w:fldCharType="begin"/>
      </w:r>
      <w:r w:rsidR="000C54D2">
        <w:instrText>HYPERLINK \l "sec:method" \h</w:instrText>
      </w:r>
      <w:r w:rsidR="000C54D2">
        <w:fldChar w:fldCharType="separate"/>
      </w:r>
      <w:r w:rsidR="000C54D2">
        <w:rPr>
          <w:rStyle w:val="af"/>
        </w:rPr>
        <w:t>2</w:t>
      </w:r>
      <w:r w:rsidR="000C54D2">
        <w:fldChar w:fldCharType="end"/>
      </w:r>
      <w:proofErr w:type="gramStart"/>
      <w:r>
        <w:rPr>
          <w:rFonts w:hint="eastAsia"/>
        </w:rPr>
        <w:t>节介绍</w:t>
      </w:r>
      <w:proofErr w:type="gramEnd"/>
      <w:r>
        <w:rPr>
          <w:rFonts w:hint="eastAsia"/>
        </w:rPr>
        <w:t>基本写法，第</w:t>
      </w:r>
      <w:r w:rsidR="000C54D2">
        <w:fldChar w:fldCharType="begin"/>
      </w:r>
      <w:r w:rsidR="000C54D2">
        <w:instrText>HYPERLINK \l "sec:results" \h</w:instrText>
      </w:r>
      <w:r w:rsidR="000C54D2">
        <w:fldChar w:fldCharType="separate"/>
      </w:r>
      <w:r w:rsidR="000C54D2">
        <w:rPr>
          <w:rStyle w:val="af"/>
        </w:rPr>
        <w:t>3</w:t>
      </w:r>
      <w:r w:rsidR="000C54D2">
        <w:fldChar w:fldCharType="end"/>
      </w:r>
      <w:r>
        <w:rPr>
          <w:rFonts w:hint="eastAsia"/>
        </w:rPr>
        <w:t>节给出图表和公式示例，第</w:t>
      </w:r>
      <w:r w:rsidR="000C54D2">
        <w:fldChar w:fldCharType="begin"/>
      </w:r>
      <w:r w:rsidR="000C54D2">
        <w:instrText>HYPERLINK \l "sec:conclusion" \h</w:instrText>
      </w:r>
      <w:r w:rsidR="000C54D2">
        <w:fldChar w:fldCharType="separate"/>
      </w:r>
      <w:r w:rsidR="000C54D2">
        <w:rPr>
          <w:rStyle w:val="af"/>
        </w:rPr>
        <w:t>4</w:t>
      </w:r>
      <w:r w:rsidR="000C54D2">
        <w:fldChar w:fldCharType="end"/>
      </w:r>
      <w:r>
        <w:rPr>
          <w:rFonts w:hint="eastAsia"/>
        </w:rPr>
        <w:t>节总结使用建议。旋转机械噪声理论可参考期刊论文</w:t>
      </w:r>
      <w:r>
        <w:rPr>
          <w:vertAlign w:val="superscript"/>
        </w:rPr>
        <w:t>[1]</w:t>
      </w:r>
      <w:r>
        <w:rPr>
          <w:rFonts w:hint="eastAsia"/>
        </w:rPr>
        <w:t>，倾转翼</w:t>
      </w:r>
      <w:r>
        <w:rPr>
          <w:rFonts w:hint="eastAsia"/>
        </w:rPr>
        <w:t>eVTOL</w:t>
      </w:r>
      <w:r>
        <w:rPr>
          <w:rFonts w:hint="eastAsia"/>
        </w:rPr>
        <w:t>噪声分析可参考会议论文</w:t>
      </w:r>
      <w:r>
        <w:rPr>
          <w:vertAlign w:val="superscript"/>
        </w:rPr>
        <w:t>[2]</w:t>
      </w:r>
      <w:r>
        <w:rPr>
          <w:rFonts w:hint="eastAsia"/>
        </w:rPr>
        <w:t>，旋翼空气动力学基础可参考专著和书中章节</w:t>
      </w:r>
      <w:r>
        <w:rPr>
          <w:vertAlign w:val="superscript"/>
        </w:rPr>
        <w:t>[3, 4]</w:t>
      </w:r>
      <w:r>
        <w:t>。</w:t>
      </w:r>
    </w:p>
    <w:p w14:paraId="7B6939A4" w14:textId="77777777" w:rsidR="000C54D2" w:rsidRDefault="00000000" w:rsidP="00BD2699">
      <w:pPr>
        <w:pStyle w:val="LptHeading1"/>
      </w:pPr>
      <w:bookmarkStart w:id="1" w:name="sec:method"/>
      <w:r>
        <w:rPr>
          <w:rFonts w:hint="eastAsia"/>
        </w:rPr>
        <w:t>方法</w:t>
      </w:r>
    </w:p>
    <w:p w14:paraId="0ED54556" w14:textId="77777777" w:rsidR="000C54D2" w:rsidRDefault="00000000" w:rsidP="008F15BF">
      <w:pPr>
        <w:pStyle w:val="LptHeading2"/>
      </w:pPr>
      <w:bookmarkStart w:id="2" w:name="subsec:structure"/>
      <w:bookmarkEnd w:id="1"/>
      <w:r>
        <w:rPr>
          <w:rFonts w:hint="eastAsia"/>
        </w:rPr>
        <w:t>手稿结构</w:t>
      </w:r>
    </w:p>
    <w:bookmarkEnd w:id="2"/>
    <w:p w14:paraId="26D1B85B" w14:textId="77777777" w:rsidR="000C54D2" w:rsidRDefault="00000000">
      <w:pPr>
        <w:pStyle w:val="LptBodyText"/>
        <w:ind w:firstLine="484"/>
      </w:pPr>
      <w:r>
        <w:rPr>
          <w:rFonts w:hint="eastAsia"/>
        </w:rPr>
        <w:t>手稿结构建议保持简单。标题、作者、摘要和关键词放在正文开头；正文使用</w:t>
      </w:r>
      <w:r>
        <w:rPr>
          <w:rStyle w:val="VerbatimChar"/>
        </w:rPr>
        <w:t>\section</w:t>
      </w:r>
      <w:r>
        <w:t>、</w:t>
      </w:r>
      <w:r>
        <w:rPr>
          <w:rStyle w:val="VerbatimChar"/>
        </w:rPr>
        <w:t>\subsection</w:t>
      </w:r>
      <w:r>
        <w:rPr>
          <w:rFonts w:hint="eastAsia"/>
        </w:rPr>
        <w:t>和</w:t>
      </w:r>
      <w:r>
        <w:rPr>
          <w:rStyle w:val="VerbatimChar"/>
        </w:rPr>
        <w:t>\subsubsection</w:t>
      </w:r>
      <w:r>
        <w:rPr>
          <w:rFonts w:hint="eastAsia"/>
        </w:rPr>
        <w:t>表示层级；图、表、公式使用标准浮动体和数学环境。</w:t>
      </w:r>
    </w:p>
    <w:p w14:paraId="569A32CE" w14:textId="77777777" w:rsidR="000C54D2" w:rsidRDefault="00000000">
      <w:pPr>
        <w:pStyle w:val="LptHeading3"/>
      </w:pPr>
      <w:bookmarkStart w:id="3" w:name="subsubsec:third-level"/>
      <w:r>
        <w:rPr>
          <w:rFonts w:hint="eastAsia"/>
        </w:rPr>
        <w:lastRenderedPageBreak/>
        <w:t>三级标题示例</w:t>
      </w:r>
    </w:p>
    <w:bookmarkEnd w:id="3"/>
    <w:p w14:paraId="749BE811" w14:textId="77777777" w:rsidR="000C54D2" w:rsidRDefault="00000000">
      <w:pPr>
        <w:pStyle w:val="LptBodyText"/>
        <w:ind w:firstLine="484"/>
      </w:pPr>
      <w:r>
        <w:rPr>
          <w:rFonts w:hint="eastAsia"/>
        </w:rPr>
        <w:t>三级标题可用于细分方法、实验条件或推导步骤。若后续需要投递期刊，可在定稿阶段再迁移到期刊模板，而不是在初稿阶段混入大量版式命令。</w:t>
      </w:r>
    </w:p>
    <w:p w14:paraId="1C22CF36" w14:textId="77777777" w:rsidR="000C54D2" w:rsidRDefault="00000000" w:rsidP="008F15BF">
      <w:pPr>
        <w:pStyle w:val="LptHeading2"/>
      </w:pPr>
      <w:bookmarkStart w:id="4" w:name="subsec:equation"/>
      <w:r>
        <w:rPr>
          <w:rFonts w:hint="eastAsia"/>
        </w:rPr>
        <w:t>公式与引用</w:t>
      </w:r>
    </w:p>
    <w:bookmarkEnd w:id="4"/>
    <w:p w14:paraId="7E7407FB" w14:textId="77777777" w:rsidR="000C54D2" w:rsidRDefault="00000000">
      <w:pPr>
        <w:pStyle w:val="LptBodyText"/>
        <w:ind w:firstLine="484"/>
      </w:pPr>
      <w:r>
        <w:rPr>
          <w:rFonts w:hint="eastAsia"/>
        </w:rPr>
        <w:t>公式建议使用标准</w:t>
      </w:r>
      <w:r>
        <w:rPr>
          <w:rStyle w:val="VerbatimChar"/>
        </w:rPr>
        <w:t>equation</w:t>
      </w:r>
      <w:r>
        <w:rPr>
          <w:rFonts w:hint="eastAsia"/>
        </w:rPr>
        <w:t>环境。式</w:t>
      </w:r>
      <w:r>
        <w:rPr>
          <w:rFonts w:hint="eastAsia"/>
        </w:rPr>
        <w:t>(1)</w:t>
      </w:r>
      <w:r>
        <w:rPr>
          <w:rFonts w:hint="eastAsia"/>
        </w:rPr>
        <w:t>给出一个简单的线性模型：</w:t>
      </w:r>
    </w:p>
    <w:p w14:paraId="44631F52" w14:textId="3FD41F63" w:rsidR="000C54D2" w:rsidRPr="009D5FC8" w:rsidRDefault="003C38F4" w:rsidP="009D5FC8">
      <w:pPr>
        <w:pStyle w:val="LptEquationNumbered"/>
        <w:spacing w:before="240"/>
      </w:pPr>
      <w:r>
        <w:rPr>
          <w:iCs/>
        </w:rPr>
        <w:tab/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ax</m:t>
        </m:r>
        <m:r>
          <m:rPr>
            <m:sty m:val="p"/>
          </m:rPr>
          <w:rPr>
            <w:rFonts w:ascii="Cambria Math" w:hAnsi="Cambria Math"/>
          </w:rPr>
          <m:t>+</m:t>
        </m:r>
        <m:r>
          <w:rPr>
            <w:rFonts w:ascii="Cambria Math" w:hAnsi="Cambria Math"/>
          </w:rPr>
          <m:t>b</m:t>
        </m:r>
      </m:oMath>
      <w:r w:rsidR="00D16813">
        <w:rPr>
          <w:iCs/>
        </w:rPr>
        <w:tab/>
      </w:r>
      <w:r>
        <w:t>(1)</w:t>
      </w:r>
    </w:p>
    <w:p w14:paraId="29B55F70" w14:textId="77777777" w:rsidR="000C54D2" w:rsidRDefault="00000000">
      <w:pPr>
        <w:pStyle w:val="LptBodyText"/>
        <w:ind w:firstLine="484"/>
      </w:pPr>
      <w:r>
        <w:rPr>
          <w:rFonts w:hint="eastAsia"/>
        </w:rPr>
        <w:t>其中，</w:t>
      </w:r>
      <m:oMath>
        <m:r>
          <w:rPr>
            <w:rFonts w:ascii="Cambria Math" w:hAnsi="Cambria Math"/>
          </w:rPr>
          <m:t>x</m:t>
        </m:r>
      </m:oMath>
      <w:r>
        <w:rPr>
          <w:rFonts w:hint="eastAsia"/>
        </w:rPr>
        <w:t>为自变量，</w:t>
      </w:r>
      <m:oMath>
        <m:r>
          <w:rPr>
            <w:rFonts w:ascii="Cambria Math" w:hAnsi="Cambria Math"/>
          </w:rPr>
          <m:t>y</m:t>
        </m:r>
      </m:oMath>
      <w:r>
        <w:rPr>
          <w:rFonts w:hint="eastAsia"/>
        </w:rPr>
        <w:t>为因变量，</w:t>
      </w:r>
      <m:oMath>
        <m:r>
          <w:rPr>
            <w:rFonts w:ascii="Cambria Math" w:hAnsi="Cambria Math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/>
          </w:rPr>
          <m:t>b</m:t>
        </m:r>
      </m:oMath>
      <w:r>
        <w:rPr>
          <w:rFonts w:hint="eastAsia"/>
        </w:rPr>
        <w:t>分别为模型参数。正文中可以继续引用式</w:t>
      </w:r>
      <w:r>
        <w:rPr>
          <w:rFonts w:hint="eastAsia"/>
        </w:rPr>
        <w:t>(1)</w:t>
      </w:r>
      <w:r>
        <w:rPr>
          <w:rFonts w:hint="eastAsia"/>
        </w:rPr>
        <w:t>，但不建议使用期刊模板专用的自定义引用命令。</w:t>
      </w:r>
    </w:p>
    <w:p w14:paraId="2E1B0C94" w14:textId="77777777" w:rsidR="000C54D2" w:rsidRDefault="00000000" w:rsidP="00BD2699">
      <w:pPr>
        <w:pStyle w:val="LptHeading1"/>
      </w:pPr>
      <w:bookmarkStart w:id="5" w:name="sec:results"/>
      <w:r>
        <w:rPr>
          <w:rFonts w:hint="eastAsia"/>
        </w:rPr>
        <w:t>结果与讨论</w:t>
      </w:r>
    </w:p>
    <w:p w14:paraId="5EBE48C7" w14:textId="77777777" w:rsidR="000C54D2" w:rsidRDefault="00000000" w:rsidP="008F15BF">
      <w:pPr>
        <w:pStyle w:val="LptHeading2"/>
      </w:pPr>
      <w:bookmarkStart w:id="6" w:name="subsec:figure"/>
      <w:bookmarkEnd w:id="5"/>
      <w:r>
        <w:rPr>
          <w:rFonts w:hint="eastAsia"/>
        </w:rPr>
        <w:t>图片示例</w:t>
      </w:r>
    </w:p>
    <w:bookmarkEnd w:id="6"/>
    <w:p w14:paraId="44FAF147" w14:textId="77777777" w:rsidR="000C54D2" w:rsidRDefault="00000000">
      <w:pPr>
        <w:pStyle w:val="LptBodyText"/>
        <w:ind w:firstLine="484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展示了一个普通图片环境。为了便于</w:t>
      </w:r>
      <w:proofErr w:type="spellStart"/>
      <w:r>
        <w:rPr>
          <w:rFonts w:hint="eastAsia"/>
        </w:rPr>
        <w:t>Pandoc</w:t>
      </w:r>
      <w:proofErr w:type="spellEnd"/>
      <w:r>
        <w:rPr>
          <w:rFonts w:hint="eastAsia"/>
        </w:rPr>
        <w:t>识别，建议每个图片只保留一个</w:t>
      </w:r>
      <w:r>
        <w:rPr>
          <w:rStyle w:val="VerbatimChar"/>
        </w:rPr>
        <w:t>\caption</w:t>
      </w:r>
      <w:r>
        <w:rPr>
          <w:rFonts w:hint="eastAsia"/>
        </w:rPr>
        <w:t>，不要使用</w:t>
      </w:r>
      <w:proofErr w:type="gramStart"/>
      <w:r>
        <w:rPr>
          <w:rFonts w:hint="eastAsia"/>
        </w:rPr>
        <w:t>双语图题</w:t>
      </w:r>
      <w:proofErr w:type="gramEnd"/>
      <w:r>
        <w:rPr>
          <w:rFonts w:hint="eastAsia"/>
        </w:rPr>
        <w:t>计数器回退等复杂写法。</w:t>
      </w:r>
    </w:p>
    <w:p w14:paraId="6A071BB7" w14:textId="77777777" w:rsidR="000C54D2" w:rsidRDefault="00000000">
      <w:pPr>
        <w:pStyle w:val="CaptionedFigure"/>
      </w:pPr>
      <w:bookmarkStart w:id="7" w:name="fig:sample"/>
      <w:r>
        <w:rPr>
          <w:noProof/>
        </w:rPr>
        <w:lastRenderedPageBreak/>
        <w:drawing>
          <wp:inline distT="0" distB="0" distL="0" distR="0" wp14:anchorId="71FFCED0" wp14:editId="7DADEA45">
            <wp:extent cx="3467100" cy="4955237"/>
            <wp:effectExtent l="0" t="0" r="0" b="0"/>
            <wp:docPr id="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" descr="cover-kqdlxxb.jp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49552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F1D0A" w14:textId="77777777" w:rsidR="000C54D2" w:rsidRDefault="00000000" w:rsidP="00727092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1</w:t>
      </w:r>
      <w:r>
        <w:rPr>
          <w:rFonts w:hint="eastAsia"/>
        </w:rPr>
        <w:t>图片示例：期刊封面占位图</w:t>
      </w:r>
    </w:p>
    <w:bookmarkEnd w:id="7"/>
    <w:p w14:paraId="17C9CF25" w14:textId="77777777" w:rsidR="000C54D2" w:rsidRDefault="00000000">
      <w:pPr>
        <w:pStyle w:val="LptBodyText"/>
        <w:ind w:firstLine="484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和图</w:t>
      </w:r>
      <w:r>
        <w:rPr>
          <w:rFonts w:hint="eastAsia"/>
        </w:rPr>
        <w:t>3</w:t>
      </w:r>
      <w:r>
        <w:rPr>
          <w:rFonts w:hint="eastAsia"/>
        </w:rPr>
        <w:t>分别插入同一图片的</w:t>
      </w:r>
      <w:r>
        <w:rPr>
          <w:rFonts w:hint="eastAsia"/>
        </w:rPr>
        <w:t>PDF</w:t>
      </w:r>
      <w:r>
        <w:rPr>
          <w:rFonts w:hint="eastAsia"/>
        </w:rPr>
        <w:t>和</w:t>
      </w:r>
      <w:r>
        <w:rPr>
          <w:rFonts w:hint="eastAsia"/>
        </w:rPr>
        <w:t>PNG</w:t>
      </w:r>
      <w:r>
        <w:rPr>
          <w:rFonts w:hint="eastAsia"/>
        </w:rPr>
        <w:t>格式，用于检查</w:t>
      </w:r>
      <w:r>
        <w:rPr>
          <w:rFonts w:hint="eastAsia"/>
        </w:rPr>
        <w:t>LaTeX</w:t>
      </w:r>
      <w:r>
        <w:rPr>
          <w:rFonts w:hint="eastAsia"/>
        </w:rPr>
        <w:t>编译和</w:t>
      </w:r>
      <w:proofErr w:type="spellStart"/>
      <w:r>
        <w:rPr>
          <w:rFonts w:hint="eastAsia"/>
        </w:rPr>
        <w:t>Pandoc</w:t>
      </w:r>
      <w:proofErr w:type="spellEnd"/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时不同图片格式的兼容性。</w:t>
      </w:r>
    </w:p>
    <w:p w14:paraId="341C6EFF" w14:textId="77777777" w:rsidR="000C54D2" w:rsidRDefault="00000000">
      <w:pPr>
        <w:pStyle w:val="CaptionedFigure"/>
      </w:pPr>
      <w:bookmarkStart w:id="8" w:name="fig:vector-format-test-pdf"/>
      <w:r>
        <w:rPr>
          <w:noProof/>
        </w:rPr>
        <w:drawing>
          <wp:inline distT="0" distB="0" distL="0" distR="0" wp14:anchorId="14016676" wp14:editId="14C4670E">
            <wp:extent cx="2510777" cy="779839"/>
            <wp:effectExtent l="0" t="0" r="0" b="0"/>
            <wp:docPr id="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example-fig-1-048ca51106-300dpi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0777" cy="779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DAFB16" w14:textId="77777777" w:rsidR="000C54D2" w:rsidRPr="009D59CE" w:rsidRDefault="00000000" w:rsidP="009D59CE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2</w:t>
      </w:r>
      <w:r>
        <w:rPr>
          <w:rFonts w:hint="eastAsia"/>
        </w:rPr>
        <w:t>图片格式测试：</w:t>
      </w:r>
      <w:r>
        <w:rPr>
          <w:rFonts w:hint="eastAsia"/>
        </w:rPr>
        <w:t>PDF</w:t>
      </w:r>
      <w:r>
        <w:rPr>
          <w:rFonts w:hint="eastAsia"/>
        </w:rPr>
        <w:t>矢量图</w:t>
      </w:r>
    </w:p>
    <w:p w14:paraId="08DF5BA7" w14:textId="77777777" w:rsidR="000C54D2" w:rsidRDefault="00000000">
      <w:pPr>
        <w:pStyle w:val="CaptionedFigure"/>
      </w:pPr>
      <w:bookmarkStart w:id="9" w:name="fig:vector-format-test-png"/>
      <w:bookmarkEnd w:id="8"/>
      <w:r>
        <w:rPr>
          <w:noProof/>
        </w:rPr>
        <w:lastRenderedPageBreak/>
        <w:drawing>
          <wp:inline distT="0" distB="0" distL="0" distR="0" wp14:anchorId="4DB241AD" wp14:editId="4A8E6F86">
            <wp:extent cx="2498544" cy="767606"/>
            <wp:effectExtent l="0" t="0" r="0" b="0"/>
            <wp:docPr id="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 descr="example-fig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8544" cy="76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CBD547" w14:textId="77777777" w:rsidR="000C54D2" w:rsidRDefault="00000000" w:rsidP="009D59CE">
      <w:pPr>
        <w:pStyle w:val="LptFigureCaption"/>
      </w:pPr>
      <w:r>
        <w:rPr>
          <w:rFonts w:hint="eastAsia"/>
        </w:rPr>
        <w:t>图</w:t>
      </w:r>
      <w:r>
        <w:rPr>
          <w:rFonts w:hint="eastAsia"/>
        </w:rPr>
        <w:t>3</w:t>
      </w:r>
      <w:r>
        <w:rPr>
          <w:rFonts w:hint="eastAsia"/>
        </w:rPr>
        <w:t>图片格式测试：</w:t>
      </w:r>
      <w:r>
        <w:rPr>
          <w:rFonts w:hint="eastAsia"/>
        </w:rPr>
        <w:t>PNG</w:t>
      </w:r>
      <w:r>
        <w:rPr>
          <w:rFonts w:hint="eastAsia"/>
        </w:rPr>
        <w:t>位图</w:t>
      </w:r>
    </w:p>
    <w:p w14:paraId="55C20D29" w14:textId="77777777" w:rsidR="000C54D2" w:rsidRDefault="00000000" w:rsidP="008F15BF">
      <w:pPr>
        <w:pStyle w:val="LptHeading2"/>
      </w:pPr>
      <w:bookmarkStart w:id="10" w:name="subsec:table"/>
      <w:bookmarkEnd w:id="9"/>
      <w:r>
        <w:rPr>
          <w:rFonts w:hint="eastAsia"/>
        </w:rPr>
        <w:t>表格示例</w:t>
      </w:r>
    </w:p>
    <w:bookmarkEnd w:id="10"/>
    <w:p w14:paraId="107FCE37" w14:textId="77777777" w:rsidR="000C54D2" w:rsidRDefault="00000000">
      <w:pPr>
        <w:pStyle w:val="LptBodyText"/>
        <w:ind w:firstLine="484"/>
      </w:pPr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给出一个三线表。表格中可以使用</w:t>
      </w:r>
      <w:proofErr w:type="spellStart"/>
      <w:r>
        <w:rPr>
          <w:rStyle w:val="VerbatimChar"/>
        </w:rPr>
        <w:t>booktabs</w:t>
      </w:r>
      <w:proofErr w:type="spellEnd"/>
      <w:r>
        <w:rPr>
          <w:rFonts w:hint="eastAsia"/>
        </w:rPr>
        <w:t>的</w:t>
      </w:r>
      <w:r>
        <w:rPr>
          <w:rStyle w:val="VerbatimChar"/>
        </w:rPr>
        <w:t>\</w:t>
      </w:r>
      <w:proofErr w:type="spellStart"/>
      <w:r>
        <w:rPr>
          <w:rStyle w:val="VerbatimChar"/>
        </w:rPr>
        <w:t>toprule</w:t>
      </w:r>
      <w:proofErr w:type="spellEnd"/>
      <w:r>
        <w:t>、</w:t>
      </w:r>
      <w:r>
        <w:rPr>
          <w:rStyle w:val="VerbatimChar"/>
        </w:rPr>
        <w:t>\</w:t>
      </w:r>
      <w:proofErr w:type="spellStart"/>
      <w:r>
        <w:rPr>
          <w:rStyle w:val="VerbatimChar"/>
        </w:rPr>
        <w:t>midrule</w:t>
      </w:r>
      <w:proofErr w:type="spellEnd"/>
      <w:r>
        <w:rPr>
          <w:rFonts w:hint="eastAsia"/>
        </w:rPr>
        <w:t>和</w:t>
      </w:r>
      <w:r>
        <w:rPr>
          <w:rStyle w:val="VerbatimChar"/>
        </w:rPr>
        <w:t>\</w:t>
      </w:r>
      <w:proofErr w:type="spellStart"/>
      <w:r>
        <w:rPr>
          <w:rStyle w:val="VerbatimChar"/>
        </w:rPr>
        <w:t>bottomrule</w:t>
      </w:r>
      <w:proofErr w:type="spellEnd"/>
      <w:r>
        <w:rPr>
          <w:rFonts w:hint="eastAsia"/>
        </w:rPr>
        <w:t>，这类结构通常比复杂合并单元格更利于转换。</w:t>
      </w:r>
    </w:p>
    <w:p w14:paraId="1216D22D" w14:textId="77777777" w:rsidR="000C54D2" w:rsidRDefault="00000000">
      <w:pPr>
        <w:pStyle w:val="LptTableCaption"/>
        <w:ind w:firstLine="484"/>
      </w:pPr>
      <w:bookmarkStart w:id="11" w:name="tab:sample"/>
      <w:r>
        <w:rPr>
          <w:rFonts w:hint="eastAsia"/>
        </w:rPr>
        <w:t>表</w:t>
      </w:r>
      <w:r>
        <w:rPr>
          <w:rFonts w:hint="eastAsia"/>
        </w:rPr>
        <w:t>1</w:t>
      </w:r>
      <w:r>
        <w:rPr>
          <w:rFonts w:hint="eastAsia"/>
        </w:rPr>
        <w:t>表格示例：模型参数</w:t>
      </w:r>
    </w:p>
    <w:tbl>
      <w:tblPr>
        <w:tblStyle w:val="Table"/>
        <w:tblW w:w="0" w:type="auto"/>
        <w:jc w:val="center"/>
        <w:tblBorders>
          <w:top w:val="single" w:sz="12" w:space="0" w:color="000000"/>
          <w:left w:val="nil"/>
          <w:bottom w:val="single" w:sz="12" w:space="0" w:color="000000"/>
          <w:right w:val="nil"/>
          <w:insideH w:val="nil"/>
          <w:insideV w:val="nil"/>
        </w:tblBorders>
        <w:tblLook w:val="0020" w:firstRow="1" w:lastRow="0" w:firstColumn="0" w:lastColumn="0" w:noHBand="0" w:noVBand="0"/>
      </w:tblPr>
      <w:tblGrid>
        <w:gridCol w:w="1078"/>
        <w:gridCol w:w="696"/>
        <w:gridCol w:w="696"/>
      </w:tblGrid>
      <w:tr w:rsidR="000C54D2" w14:paraId="642585FB" w14:textId="77777777" w:rsidTr="000C54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1089B2AF" w14:textId="77777777" w:rsidR="000C54D2" w:rsidRPr="00F56A94" w:rsidRDefault="00000000" w:rsidP="00F56A94">
            <w:pPr>
              <w:pStyle w:val="LptTableHeader"/>
            </w:pPr>
            <w:r w:rsidRPr="00A83F4E">
              <w:t>参数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0D98AF1B" w14:textId="77777777" w:rsidR="000C54D2" w:rsidRPr="00A83F4E" w:rsidRDefault="00000000" w:rsidP="00A83F4E">
            <w:pPr>
              <w:pStyle w:val="LptTableHeader"/>
            </w:pPr>
            <w:r w:rsidRPr="00A83F4E">
              <w:t>数值</w:t>
            </w:r>
          </w:p>
        </w:tc>
        <w:tc>
          <w:tcPr>
            <w:tcW w:w="0" w:type="auto"/>
            <w:tcBorders>
              <w:top w:val="single" w:sz="12" w:space="0" w:color="000000"/>
              <w:left w:val="nil"/>
              <w:bottom w:val="single" w:sz="8" w:space="0" w:color="000000"/>
              <w:right w:val="nil"/>
            </w:tcBorders>
          </w:tcPr>
          <w:p w14:paraId="358255E2" w14:textId="77777777" w:rsidR="000C54D2" w:rsidRPr="00A83F4E" w:rsidRDefault="00000000" w:rsidP="00A83F4E">
            <w:pPr>
              <w:pStyle w:val="LptTableHeader"/>
            </w:pPr>
            <w:r w:rsidRPr="00A83F4E">
              <w:t>单位</w:t>
            </w:r>
          </w:p>
        </w:tc>
      </w:tr>
      <w:tr w:rsidR="000C54D2" w14:paraId="253A4A19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91E7F2" w14:textId="77777777" w:rsidR="000C54D2" w:rsidRPr="00A52D26" w:rsidRDefault="00000000" w:rsidP="00A52D26">
            <w:pPr>
              <w:pStyle w:val="LptTableBody"/>
            </w:pPr>
            <w:r w:rsidRPr="00A52D26">
              <w:t>斜率</w:t>
            </w:r>
            <m:oMath>
              <m:r>
                <w:rPr>
                  <w:rFonts w:ascii="Cambria Math" w:hAnsi="Cambria Math"/>
                </w:rPr>
                <m:t>a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7BE8C3" w14:textId="77777777" w:rsidR="000C54D2" w:rsidRPr="00A52D26" w:rsidRDefault="00000000" w:rsidP="00A52D26">
            <w:pPr>
              <w:pStyle w:val="LptTableBody"/>
            </w:pPr>
            <w:r w:rsidRPr="00A52D26">
              <w:t>1.20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29D3D02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  <w:tr w:rsidR="000C54D2" w14:paraId="69B53123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483968CA" w14:textId="77777777" w:rsidR="000C54D2" w:rsidRPr="00A52D26" w:rsidRDefault="00000000" w:rsidP="00A52D26">
            <w:pPr>
              <w:pStyle w:val="LptTableBody"/>
            </w:pPr>
            <w:r w:rsidRPr="00A52D26">
              <w:t>截距</w:t>
            </w:r>
            <m:oMath>
              <m:r>
                <w:rPr>
                  <w:rFonts w:ascii="Cambria Math" w:hAnsi="Cambria Math"/>
                </w:rPr>
                <m:t>b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5D75E0B4" w14:textId="77777777" w:rsidR="000C54D2" w:rsidRPr="00A52D26" w:rsidRDefault="00000000" w:rsidP="00A52D26">
            <w:pPr>
              <w:pStyle w:val="LptTableBody"/>
            </w:pPr>
            <w:r w:rsidRPr="00A52D26">
              <w:t>0.35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</w:tcPr>
          <w:p w14:paraId="0E3A32A2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  <w:tr w:rsidR="000C54D2" w14:paraId="50C49F73" w14:textId="77777777" w:rsidTr="000C54D2">
        <w:trPr>
          <w:jc w:val="center"/>
        </w:trPr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672B0612" w14:textId="77777777" w:rsidR="000C54D2" w:rsidRPr="00A52D26" w:rsidRDefault="00000000" w:rsidP="00A52D26">
            <w:pPr>
              <w:pStyle w:val="LptTableBody"/>
            </w:pPr>
            <w:r w:rsidRPr="00A52D26">
              <w:t>样本数</w:t>
            </w:r>
            <m:oMath>
              <m:r>
                <w:rPr>
                  <w:rFonts w:ascii="Cambria Math" w:hAnsi="Cambria Math"/>
                </w:rPr>
                <m:t>n</m:t>
              </m:r>
            </m:oMath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7894D221" w14:textId="77777777" w:rsidR="000C54D2" w:rsidRPr="00A52D26" w:rsidRDefault="00000000" w:rsidP="00A52D26">
            <w:pPr>
              <w:pStyle w:val="LptTableBody"/>
            </w:pPr>
            <w:r w:rsidRPr="00A52D26">
              <w:t>100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12" w:space="0" w:color="000000"/>
              <w:right w:val="nil"/>
            </w:tcBorders>
          </w:tcPr>
          <w:p w14:paraId="004E23EB" w14:textId="77777777" w:rsidR="000C54D2" w:rsidRPr="00A52D26" w:rsidRDefault="00000000" w:rsidP="00A52D26">
            <w:pPr>
              <w:pStyle w:val="LptTableBody"/>
            </w:pPr>
            <w:r w:rsidRPr="00A52D26">
              <w:t>–</w:t>
            </w:r>
          </w:p>
        </w:tc>
      </w:tr>
    </w:tbl>
    <w:p w14:paraId="2225D7A5" w14:textId="77777777" w:rsidR="000C54D2" w:rsidRDefault="00000000" w:rsidP="008F15BF">
      <w:pPr>
        <w:pStyle w:val="LptHeading2"/>
      </w:pPr>
      <w:bookmarkStart w:id="12" w:name="subsec:cross-reference"/>
      <w:bookmarkEnd w:id="11"/>
      <w:r>
        <w:rPr>
          <w:rFonts w:hint="eastAsia"/>
        </w:rPr>
        <w:t>综合引用示例</w:t>
      </w:r>
    </w:p>
    <w:bookmarkEnd w:id="12"/>
    <w:p w14:paraId="20CEA724" w14:textId="77777777" w:rsidR="000C54D2" w:rsidRDefault="00000000">
      <w:pPr>
        <w:pStyle w:val="LptBodyText"/>
        <w:ind w:firstLine="484"/>
      </w:pPr>
      <w:r>
        <w:rPr>
          <w:rFonts w:hint="eastAsia"/>
        </w:rPr>
        <w:t>在讨论中可以同时引用多个对象。例如，第</w:t>
      </w:r>
      <w:r w:rsidR="000C54D2">
        <w:fldChar w:fldCharType="begin"/>
      </w:r>
      <w:r w:rsidR="000C54D2">
        <w:instrText>HYPERLINK \l "subsec:equation" \h</w:instrText>
      </w:r>
      <w:r w:rsidR="000C54D2">
        <w:fldChar w:fldCharType="separate"/>
      </w:r>
      <w:r w:rsidR="000C54D2">
        <w:rPr>
          <w:rStyle w:val="af"/>
        </w:rPr>
        <w:t>2.2</w:t>
      </w:r>
      <w:r w:rsidR="000C54D2">
        <w:fldChar w:fldCharType="end"/>
      </w:r>
      <w:r>
        <w:rPr>
          <w:rFonts w:hint="eastAsia"/>
        </w:rPr>
        <w:t>节定义了模型，式</w:t>
      </w:r>
      <w:r>
        <w:rPr>
          <w:rFonts w:hint="eastAsia"/>
        </w:rPr>
        <w:t>(1)</w:t>
      </w:r>
      <w:r>
        <w:rPr>
          <w:rFonts w:hint="eastAsia"/>
        </w:rPr>
        <w:t>给出了数学表达，图</w:t>
      </w:r>
      <w:r>
        <w:rPr>
          <w:rFonts w:hint="eastAsia"/>
        </w:rPr>
        <w:t>1</w:t>
      </w:r>
      <w:r>
        <w:rPr>
          <w:rFonts w:hint="eastAsia"/>
        </w:rPr>
        <w:t>和表</w:t>
      </w:r>
      <w:r>
        <w:rPr>
          <w:rFonts w:hint="eastAsia"/>
        </w:rPr>
        <w:t>1</w:t>
      </w:r>
      <w:r>
        <w:rPr>
          <w:rFonts w:hint="eastAsia"/>
        </w:rPr>
        <w:t>分别展示了图片和表格的写法。关于旋翼系统分析，还可参考技术报告</w:t>
      </w:r>
      <w:r>
        <w:rPr>
          <w:vertAlign w:val="superscript"/>
        </w:rPr>
        <w:t>[5]</w:t>
      </w:r>
      <w:r>
        <w:rPr>
          <w:rFonts w:hint="eastAsia"/>
        </w:rPr>
        <w:t>、论文集章节</w:t>
      </w:r>
      <w:r>
        <w:rPr>
          <w:vertAlign w:val="superscript"/>
        </w:rPr>
        <w:t>[6]</w:t>
      </w:r>
      <w:r>
        <w:rPr>
          <w:rFonts w:hint="eastAsia"/>
        </w:rPr>
        <w:t>、</w:t>
      </w:r>
      <w:proofErr w:type="gramStart"/>
      <w:r>
        <w:rPr>
          <w:rFonts w:hint="eastAsia"/>
        </w:rPr>
        <w:t>早期会</w:t>
      </w:r>
      <w:proofErr w:type="gramEnd"/>
      <w:r>
        <w:rPr>
          <w:rFonts w:hint="eastAsia"/>
        </w:rPr>
        <w:t>议论文</w:t>
      </w:r>
      <w:r>
        <w:rPr>
          <w:vertAlign w:val="superscript"/>
        </w:rPr>
        <w:t>[7]</w:t>
      </w:r>
      <w:r>
        <w:rPr>
          <w:rFonts w:hint="eastAsia"/>
        </w:rPr>
        <w:t>、普通网络或未出版资料</w:t>
      </w:r>
      <w:r>
        <w:rPr>
          <w:vertAlign w:val="superscript"/>
        </w:rPr>
        <w:t>[8]</w:t>
      </w:r>
      <w:r>
        <w:rPr>
          <w:rFonts w:hint="eastAsia"/>
        </w:rPr>
        <w:t>，以及在线资料</w:t>
      </w:r>
      <w:r>
        <w:rPr>
          <w:vertAlign w:val="superscript"/>
        </w:rPr>
        <w:t>[9]</w:t>
      </w:r>
      <w:r>
        <w:t>。</w:t>
      </w:r>
    </w:p>
    <w:p w14:paraId="32EECD85" w14:textId="77777777" w:rsidR="000C54D2" w:rsidRDefault="00000000" w:rsidP="00BD2699">
      <w:pPr>
        <w:pStyle w:val="LptHeading1"/>
      </w:pPr>
      <w:bookmarkStart w:id="13" w:name="sec:conclusion"/>
      <w:r>
        <w:rPr>
          <w:rFonts w:hint="eastAsia"/>
        </w:rPr>
        <w:t>结论</w:t>
      </w:r>
    </w:p>
    <w:bookmarkEnd w:id="13"/>
    <w:p w14:paraId="0E4F3F10" w14:textId="77777777" w:rsidR="000C54D2" w:rsidRDefault="00000000">
      <w:pPr>
        <w:pStyle w:val="LptBodyText"/>
        <w:ind w:firstLine="484"/>
      </w:pPr>
      <w:r>
        <w:rPr>
          <w:rFonts w:hint="eastAsia"/>
        </w:rPr>
        <w:t>本文示例保留了论文手稿的核心语义元素，同时删除了期刊模板中的页眉页脚、双栏、字体、复杂标题页和专用参考文献宏。这样的写法更适合作为</w:t>
      </w:r>
      <w:proofErr w:type="spellStart"/>
      <w:r>
        <w:rPr>
          <w:rFonts w:hint="eastAsia"/>
        </w:rPr>
        <w:t>Pandoc</w:t>
      </w:r>
      <w:proofErr w:type="spellEnd"/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审阅稿的源文件。</w:t>
      </w:r>
    </w:p>
    <w:p w14:paraId="1132F0D4" w14:textId="77777777" w:rsidR="000C54D2" w:rsidRDefault="00000000">
      <w:pPr>
        <w:pStyle w:val="LptBodyText"/>
        <w:ind w:firstLine="484"/>
      </w:pPr>
      <w:r>
        <w:rPr>
          <w:rFonts w:hint="eastAsia"/>
        </w:rPr>
        <w:t>本模板的参考文献文件基本覆盖了一篇论文中常见的文献类型，包括期刊论文</w:t>
      </w:r>
      <w:r>
        <w:rPr>
          <w:vertAlign w:val="superscript"/>
        </w:rPr>
        <w:t>[1]</w:t>
      </w:r>
      <w:r>
        <w:rPr>
          <w:rFonts w:hint="eastAsia"/>
        </w:rPr>
        <w:t>、会议论文</w:t>
      </w:r>
      <w:r>
        <w:rPr>
          <w:vertAlign w:val="superscript"/>
        </w:rPr>
        <w:t>[2, 7]</w:t>
      </w:r>
      <w:r>
        <w:rPr>
          <w:rFonts w:hint="eastAsia"/>
        </w:rPr>
        <w:t>、技术报告</w:t>
      </w:r>
      <w:r>
        <w:rPr>
          <w:vertAlign w:val="superscript"/>
        </w:rPr>
        <w:t>[5]</w:t>
      </w:r>
      <w:r>
        <w:rPr>
          <w:rFonts w:hint="eastAsia"/>
        </w:rPr>
        <w:t>、专著</w:t>
      </w:r>
      <w:r>
        <w:rPr>
          <w:vertAlign w:val="superscript"/>
        </w:rPr>
        <w:t>[3]</w:t>
      </w:r>
      <w:r>
        <w:rPr>
          <w:rFonts w:hint="eastAsia"/>
        </w:rPr>
        <w:t>、书中章节</w:t>
      </w:r>
      <w:r>
        <w:rPr>
          <w:vertAlign w:val="superscript"/>
        </w:rPr>
        <w:t>[4]</w:t>
      </w:r>
      <w:r>
        <w:rPr>
          <w:rFonts w:hint="eastAsia"/>
        </w:rPr>
        <w:t>、论文集章节</w:t>
      </w:r>
      <w:r>
        <w:rPr>
          <w:vertAlign w:val="superscript"/>
        </w:rPr>
        <w:t>[6]</w:t>
      </w:r>
      <w:r>
        <w:rPr>
          <w:rFonts w:hint="eastAsia"/>
        </w:rPr>
        <w:t>、普通未出版或网络资料</w:t>
      </w:r>
      <w:r>
        <w:rPr>
          <w:vertAlign w:val="superscript"/>
        </w:rPr>
        <w:t>[8]</w:t>
      </w:r>
      <w:r>
        <w:rPr>
          <w:rFonts w:hint="eastAsia"/>
        </w:rPr>
        <w:t>，以及在线资料</w:t>
      </w:r>
      <w:r>
        <w:rPr>
          <w:vertAlign w:val="superscript"/>
        </w:rPr>
        <w:t>[9]</w:t>
      </w:r>
      <w:r>
        <w:rPr>
          <w:rFonts w:hint="eastAsia"/>
        </w:rPr>
        <w:t>；在</w:t>
      </w:r>
      <w:proofErr w:type="spellStart"/>
      <w:r>
        <w:rPr>
          <w:rFonts w:hint="eastAsia"/>
        </w:rPr>
        <w:t>Pandoc</w:t>
      </w:r>
      <w:proofErr w:type="spellEnd"/>
      <w:r>
        <w:rPr>
          <w:rFonts w:hint="eastAsia"/>
        </w:rPr>
        <w:t>转</w:t>
      </w:r>
      <w:r>
        <w:rPr>
          <w:rFonts w:hint="eastAsia"/>
        </w:rPr>
        <w:t>Word</w:t>
      </w:r>
      <w:r>
        <w:rPr>
          <w:rFonts w:hint="eastAsia"/>
        </w:rPr>
        <w:t>时，这些引用可以通过同一个</w:t>
      </w:r>
      <w:proofErr w:type="spellStart"/>
      <w:r>
        <w:rPr>
          <w:rFonts w:hint="eastAsia"/>
        </w:rPr>
        <w:t>BibTeX</w:t>
      </w:r>
      <w:proofErr w:type="spellEnd"/>
      <w:r>
        <w:rPr>
          <w:rFonts w:hint="eastAsia"/>
        </w:rPr>
        <w:t>数据库统一管理。</w:t>
      </w:r>
    </w:p>
    <w:p w14:paraId="6A4DA857" w14:textId="77777777" w:rsidR="000C54D2" w:rsidRPr="00C141F4" w:rsidRDefault="00000000" w:rsidP="00C141F4">
      <w:pPr>
        <w:pStyle w:val="LptReferencesHeading"/>
      </w:pPr>
      <w:r>
        <w:rPr>
          <w:rFonts w:hint="eastAsia"/>
        </w:rPr>
        <w:t>参考文献</w:t>
      </w:r>
    </w:p>
    <w:p w14:paraId="403FFBB4" w14:textId="77777777" w:rsidR="000C54D2" w:rsidRPr="004E388F" w:rsidRDefault="00000000" w:rsidP="004E388F">
      <w:pPr>
        <w:pStyle w:val="LptReferenceItem"/>
        <w:spacing w:after="120"/>
        <w:ind w:left="360" w:hanging="360"/>
      </w:pPr>
      <w:bookmarkStart w:id="14" w:name="ref-ffowcswilliams1969theory"/>
      <w:bookmarkStart w:id="15" w:name="refs"/>
      <w:r w:rsidRPr="00FB0631">
        <w:lastRenderedPageBreak/>
        <w:t>[1</w:t>
      </w:r>
      <w:proofErr w:type="gramStart"/>
      <w:r w:rsidRPr="00FB0631">
        <w:t xml:space="preserve">] </w:t>
      </w:r>
      <w:r w:rsidRPr="00FB0631">
        <w:tab/>
        <w:t>FFOWCS</w:t>
      </w:r>
      <w:proofErr w:type="gramEnd"/>
      <w:r w:rsidRPr="00FB0631">
        <w:t xml:space="preserve"> WILLIAMS J E, HAWKINGS D L. Theory relating to the noise of rotating machinery[J/OL]. Journal of Sound and Vibration, 1969, 10(1): 10-21. DOI: </w:t>
      </w:r>
      <w:hyperlink r:id="rId9">
        <w:r w:rsidR="000C54D2" w:rsidRPr="00FB0631">
          <w:rPr>
            <w:rStyle w:val="af"/>
            <w:color w:val="auto"/>
          </w:rPr>
          <w:t>10.1016/0022-460</w:t>
        </w:r>
        <w:proofErr w:type="gramStart"/>
        <w:r w:rsidR="000C54D2" w:rsidRPr="00FB0631">
          <w:rPr>
            <w:rStyle w:val="af"/>
            <w:color w:val="auto"/>
          </w:rPr>
          <w:t>X(</w:t>
        </w:r>
        <w:proofErr w:type="gramEnd"/>
        <w:r w:rsidR="000C54D2" w:rsidRPr="00FB0631">
          <w:rPr>
            <w:rStyle w:val="af"/>
            <w:color w:val="auto"/>
          </w:rPr>
          <w:t>69)90125-4</w:t>
        </w:r>
      </w:hyperlink>
      <w:r w:rsidRPr="00FB0631">
        <w:t>.</w:t>
      </w:r>
    </w:p>
    <w:p w14:paraId="71A80A05" w14:textId="77777777" w:rsidR="000C54D2" w:rsidRPr="00FB0631" w:rsidRDefault="00000000" w:rsidP="004E388F">
      <w:pPr>
        <w:pStyle w:val="LptReferenceItem"/>
        <w:spacing w:after="120"/>
        <w:ind w:left="360" w:hanging="360"/>
      </w:pPr>
      <w:bookmarkStart w:id="16" w:name="ref-higgins2020aeroacoustic"/>
      <w:bookmarkEnd w:id="14"/>
      <w:r w:rsidRPr="00FB0631">
        <w:t>[2</w:t>
      </w:r>
      <w:proofErr w:type="gramStart"/>
      <w:r w:rsidRPr="00FB0631">
        <w:t xml:space="preserve">] </w:t>
      </w:r>
      <w:r w:rsidRPr="00FB0631">
        <w:tab/>
        <w:t>HIGGINS</w:t>
      </w:r>
      <w:proofErr w:type="gramEnd"/>
      <w:r w:rsidRPr="00FB0631">
        <w:t xml:space="preserve"> R J, BARAKOS G N, SHAHPAR S, et al. An </w:t>
      </w:r>
      <w:proofErr w:type="spellStart"/>
      <w:r w:rsidRPr="00FB0631">
        <w:t>aeroacoustic</w:t>
      </w:r>
      <w:proofErr w:type="spellEnd"/>
      <w:r w:rsidRPr="00FB0631">
        <w:t xml:space="preserve"> investigation of a tiltwing eVTOL concept aircraft[C/</w:t>
      </w:r>
      <w:proofErr w:type="gramStart"/>
      <w:r w:rsidRPr="00FB0631">
        <w:t>OL]/</w:t>
      </w:r>
      <w:proofErr w:type="gramEnd"/>
      <w:r w:rsidRPr="00FB0631">
        <w:t xml:space="preserve">/AIAA Aviation 2020 Forum. AIAA, 2020: 2684. DOI: </w:t>
      </w:r>
      <w:hyperlink r:id="rId10">
        <w:r w:rsidR="000C54D2" w:rsidRPr="00FB0631">
          <w:rPr>
            <w:rStyle w:val="af"/>
            <w:color w:val="auto"/>
          </w:rPr>
          <w:t>10.2514/6.2020-2684</w:t>
        </w:r>
      </w:hyperlink>
      <w:r w:rsidRPr="00FB0631">
        <w:t>.</w:t>
      </w:r>
    </w:p>
    <w:p w14:paraId="569555A8" w14:textId="77777777" w:rsidR="000C54D2" w:rsidRPr="00FB0631" w:rsidRDefault="00000000" w:rsidP="004E388F">
      <w:pPr>
        <w:pStyle w:val="LptReferenceItem"/>
        <w:spacing w:after="120"/>
        <w:ind w:left="360" w:hanging="360"/>
      </w:pPr>
      <w:bookmarkStart w:id="17" w:name="ref-Johnson80a"/>
      <w:bookmarkEnd w:id="16"/>
      <w:r w:rsidRPr="00FB0631">
        <w:t>[3</w:t>
      </w:r>
      <w:proofErr w:type="gramStart"/>
      <w:r w:rsidRPr="00FB0631">
        <w:t xml:space="preserve">] </w:t>
      </w:r>
      <w:r w:rsidRPr="00FB0631">
        <w:tab/>
        <w:t>JOHNSON</w:t>
      </w:r>
      <w:proofErr w:type="gramEnd"/>
      <w:r w:rsidRPr="00FB0631">
        <w:t xml:space="preserve"> W. Helicopter theory[M]. Princeton, NJ: Princeton University Press, 1980: 808-813.</w:t>
      </w:r>
    </w:p>
    <w:p w14:paraId="3A03E0FA" w14:textId="77777777" w:rsidR="000C54D2" w:rsidRPr="00FB0631" w:rsidRDefault="00000000" w:rsidP="004E388F">
      <w:pPr>
        <w:pStyle w:val="LptReferenceItem"/>
        <w:spacing w:after="120"/>
        <w:ind w:left="360" w:hanging="360"/>
      </w:pPr>
      <w:bookmarkStart w:id="18" w:name="ref-Leishman00"/>
      <w:bookmarkEnd w:id="17"/>
      <w:r w:rsidRPr="00FB0631">
        <w:t>[4</w:t>
      </w:r>
      <w:proofErr w:type="gramStart"/>
      <w:r w:rsidRPr="00FB0631">
        <w:t xml:space="preserve">] </w:t>
      </w:r>
      <w:r w:rsidRPr="00FB0631">
        <w:tab/>
        <w:t>LEISHMAN</w:t>
      </w:r>
      <w:proofErr w:type="gramEnd"/>
      <w:r w:rsidRPr="00FB0631">
        <w:t xml:space="preserve"> J G. Principles of helicopter aerodynamics[M]. New York, NY: Cambridge University Press, 2000.</w:t>
      </w:r>
    </w:p>
    <w:p w14:paraId="41DAB395" w14:textId="77777777" w:rsidR="000C54D2" w:rsidRPr="00FB0631" w:rsidRDefault="00000000" w:rsidP="004E388F">
      <w:pPr>
        <w:pStyle w:val="LptReferenceItem"/>
        <w:spacing w:after="120"/>
        <w:ind w:left="360" w:hanging="360"/>
      </w:pPr>
      <w:bookmarkStart w:id="19" w:name="ref-Straub84"/>
      <w:bookmarkEnd w:id="18"/>
      <w:r w:rsidRPr="00FB0631">
        <w:t>[5</w:t>
      </w:r>
      <w:proofErr w:type="gramStart"/>
      <w:r w:rsidRPr="00FB0631">
        <w:t xml:space="preserve">] </w:t>
      </w:r>
      <w:r w:rsidRPr="00FB0631">
        <w:tab/>
        <w:t>STRAUB</w:t>
      </w:r>
      <w:proofErr w:type="gramEnd"/>
      <w:r w:rsidRPr="00FB0631">
        <w:t xml:space="preserve"> F. Study to eliminate ground resonance using active controls: 166609[R]. [</w:t>
      </w:r>
      <w:proofErr w:type="spellStart"/>
      <w:r w:rsidRPr="00FB0631">
        <w:t>S.l.</w:t>
      </w:r>
      <w:proofErr w:type="spellEnd"/>
      <w:r w:rsidRPr="00FB0631">
        <w:t xml:space="preserve">: </w:t>
      </w:r>
      <w:proofErr w:type="spellStart"/>
      <w:r w:rsidRPr="00FB0631">
        <w:t>s.n</w:t>
      </w:r>
      <w:proofErr w:type="spellEnd"/>
      <w:r w:rsidRPr="00FB0631">
        <w:t>.], 1984.</w:t>
      </w:r>
    </w:p>
    <w:p w14:paraId="7E283005" w14:textId="77777777" w:rsidR="000C54D2" w:rsidRPr="00FB0631" w:rsidRDefault="00000000" w:rsidP="004E388F">
      <w:pPr>
        <w:pStyle w:val="LptReferenceItem"/>
        <w:spacing w:after="120"/>
        <w:ind w:left="360" w:hanging="360"/>
      </w:pPr>
      <w:bookmarkStart w:id="20" w:name="ref-Friedmann93"/>
      <w:bookmarkEnd w:id="19"/>
      <w:r w:rsidRPr="00FB0631">
        <w:t>[6</w:t>
      </w:r>
      <w:proofErr w:type="gramStart"/>
      <w:r w:rsidRPr="00FB0631">
        <w:t xml:space="preserve">] </w:t>
      </w:r>
      <w:r w:rsidRPr="00FB0631">
        <w:tab/>
        <w:t>FRIEDMANN</w:t>
      </w:r>
      <w:proofErr w:type="gramEnd"/>
      <w:r w:rsidRPr="00FB0631">
        <w:t xml:space="preserve"> P </w:t>
      </w:r>
      <w:proofErr w:type="spellStart"/>
      <w:r w:rsidRPr="00FB0631">
        <w:t>P</w:t>
      </w:r>
      <w:proofErr w:type="spellEnd"/>
      <w:r w:rsidRPr="00FB0631">
        <w:t>, HODGES D H. Rotary-wing aeroelasticity with application to VTOL vehicles[</w:t>
      </w:r>
      <w:proofErr w:type="gramStart"/>
      <w:r w:rsidRPr="00FB0631">
        <w:t>M]/</w:t>
      </w:r>
      <w:proofErr w:type="gramEnd"/>
      <w:r w:rsidRPr="00FB0631">
        <w:t>/NOOR A K, VENNERI S L. Part II: volume 5 Flight-Vehicle Materials, Structures, and Dynamics. New York, NY: American Society of Mechanical Engineers, 1993: 299-391.</w:t>
      </w:r>
    </w:p>
    <w:p w14:paraId="66C7284D" w14:textId="77777777" w:rsidR="000C54D2" w:rsidRPr="00FB0631" w:rsidRDefault="00000000" w:rsidP="004E388F">
      <w:pPr>
        <w:pStyle w:val="LptReferenceItem"/>
        <w:spacing w:after="120"/>
        <w:ind w:left="360" w:hanging="360"/>
      </w:pPr>
      <w:bookmarkStart w:id="21" w:name="ref-Sadler"/>
      <w:bookmarkEnd w:id="20"/>
      <w:r w:rsidRPr="00FB0631">
        <w:t>[7</w:t>
      </w:r>
      <w:proofErr w:type="gramStart"/>
      <w:r w:rsidRPr="00FB0631">
        <w:t xml:space="preserve">] </w:t>
      </w:r>
      <w:r w:rsidRPr="00FB0631">
        <w:tab/>
        <w:t>SADLER</w:t>
      </w:r>
      <w:proofErr w:type="gramEnd"/>
      <w:r w:rsidRPr="00FB0631">
        <w:t xml:space="preserve"> S G. A method for predicting helicopter wake geometry, wake-induced inflow and wake effects on blade </w:t>
      </w:r>
      <w:proofErr w:type="spellStart"/>
      <w:r w:rsidRPr="00FB0631">
        <w:t>airloads</w:t>
      </w:r>
      <w:proofErr w:type="spellEnd"/>
      <w:r w:rsidRPr="00FB0631">
        <w:t>[C]//American Helicopter Society 27th Annual Forum. [</w:t>
      </w:r>
      <w:proofErr w:type="spellStart"/>
      <w:r w:rsidRPr="00FB0631">
        <w:t>S.l.</w:t>
      </w:r>
      <w:proofErr w:type="spellEnd"/>
      <w:r w:rsidRPr="00FB0631">
        <w:t xml:space="preserve">: </w:t>
      </w:r>
      <w:proofErr w:type="spellStart"/>
      <w:r w:rsidRPr="00FB0631">
        <w:t>s.n</w:t>
      </w:r>
      <w:proofErr w:type="spellEnd"/>
      <w:r w:rsidRPr="00FB0631">
        <w:t>.], 1971.</w:t>
      </w:r>
    </w:p>
    <w:p w14:paraId="0161EED0" w14:textId="77777777" w:rsidR="000C54D2" w:rsidRPr="00FB0631" w:rsidRDefault="00000000" w:rsidP="004E388F">
      <w:pPr>
        <w:pStyle w:val="LptReferenceItem"/>
        <w:spacing w:after="120"/>
        <w:ind w:left="360" w:hanging="360"/>
      </w:pPr>
      <w:bookmarkStart w:id="22" w:name="ref-Patashnik"/>
      <w:bookmarkEnd w:id="21"/>
      <w:r w:rsidRPr="00FB0631">
        <w:t>[8</w:t>
      </w:r>
      <w:proofErr w:type="gramStart"/>
      <w:r w:rsidRPr="00FB0631">
        <w:t xml:space="preserve">] </w:t>
      </w:r>
      <w:r w:rsidRPr="00FB0631">
        <w:tab/>
        <w:t>PATASHNIK</w:t>
      </w:r>
      <w:proofErr w:type="gramEnd"/>
      <w:r w:rsidRPr="00FB0631">
        <w:t xml:space="preserve"> O. </w:t>
      </w:r>
      <w:proofErr w:type="spellStart"/>
      <w:r w:rsidRPr="00FB0631">
        <w:t>BibTeXing</w:t>
      </w:r>
      <w:proofErr w:type="spellEnd"/>
      <w:r w:rsidRPr="00FB0631">
        <w:t>[Z]. [</w:t>
      </w:r>
      <w:proofErr w:type="spellStart"/>
      <w:r w:rsidRPr="00FB0631">
        <w:t>S.l.</w:t>
      </w:r>
      <w:proofErr w:type="spellEnd"/>
      <w:r w:rsidRPr="00FB0631">
        <w:t xml:space="preserve">: </w:t>
      </w:r>
      <w:proofErr w:type="spellStart"/>
      <w:r w:rsidRPr="00FB0631">
        <w:t>s.n</w:t>
      </w:r>
      <w:proofErr w:type="spellEnd"/>
      <w:r w:rsidRPr="00FB0631">
        <w:t>.], 1988.</w:t>
      </w:r>
    </w:p>
    <w:p w14:paraId="25135710" w14:textId="77777777" w:rsidR="000C54D2" w:rsidRPr="00FB0631" w:rsidRDefault="00000000" w:rsidP="004E388F">
      <w:pPr>
        <w:pStyle w:val="LptReferenceItem"/>
        <w:spacing w:after="120"/>
        <w:ind w:left="360" w:hanging="360"/>
      </w:pPr>
      <w:bookmarkStart w:id="23" w:name="ref-Roy:compworld2023"/>
      <w:bookmarkEnd w:id="22"/>
      <w:r w:rsidRPr="00FB0631">
        <w:t xml:space="preserve">[9] </w:t>
      </w:r>
      <w:r w:rsidRPr="00FB0631">
        <w:tab/>
        <w:t xml:space="preserve">ROY A. Composites opportunities in </w:t>
      </w:r>
      <w:proofErr w:type="gramStart"/>
      <w:r w:rsidRPr="00FB0631">
        <w:t>eVTOL[</w:t>
      </w:r>
      <w:proofErr w:type="gramEnd"/>
      <w:r w:rsidRPr="00FB0631">
        <w:t xml:space="preserve">EB/OL]. Composites World, 2023. </w:t>
      </w:r>
      <w:hyperlink r:id="rId11">
        <w:r w:rsidR="000C54D2" w:rsidRPr="00FB0631">
          <w:rPr>
            <w:rStyle w:val="af"/>
            <w:color w:val="auto"/>
          </w:rPr>
          <w:t>www.compositesworld.com/articles/composites-opportunities-in-evtols</w:t>
        </w:r>
      </w:hyperlink>
      <w:r w:rsidRPr="00FB0631">
        <w:t>.</w:t>
      </w:r>
      <w:bookmarkEnd w:id="15"/>
      <w:bookmarkEnd w:id="23"/>
    </w:p>
    <w:sectPr w:rsidR="000C54D2" w:rsidRPr="00FB0631" w:rsidSect="005A3C6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MRoman12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116977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3A494C13"/>
    <w:multiLevelType w:val="hybridMultilevel"/>
    <w:tmpl w:val="13F2956A"/>
    <w:lvl w:ilvl="0" w:tplc="74E4D3D6">
      <w:start w:val="1"/>
      <w:numFmt w:val="decimal"/>
      <w:lvlText w:val="%1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54D53319"/>
    <w:multiLevelType w:val="multilevel"/>
    <w:tmpl w:val="E5F81554"/>
    <w:lvl w:ilvl="0">
      <w:start w:val="1"/>
      <w:numFmt w:val="decimal"/>
      <w:pStyle w:val="LptHeading1"/>
      <w:lvlText w:val="%1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pStyle w:val="LptHeading2"/>
      <w:lvlText w:val="%1.%2"/>
      <w:lvlJc w:val="left"/>
      <w:pPr>
        <w:tabs>
          <w:tab w:val="num" w:pos="540"/>
        </w:tabs>
        <w:ind w:left="540" w:hanging="360"/>
      </w:pPr>
    </w:lvl>
    <w:lvl w:ilvl="2">
      <w:start w:val="1"/>
      <w:numFmt w:val="decimal"/>
      <w:pStyle w:val="LptHeading3"/>
      <w:lvlText w:val="%1.%2.%3"/>
      <w:lvlJc w:val="left"/>
      <w:pPr>
        <w:tabs>
          <w:tab w:val="num" w:pos="720"/>
        </w:tabs>
        <w:ind w:left="720" w:hanging="36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63C8339E"/>
    <w:multiLevelType w:val="hybridMultilevel"/>
    <w:tmpl w:val="A672CC52"/>
    <w:lvl w:ilvl="0" w:tplc="131A2B7A">
      <w:start w:val="1"/>
      <w:numFmt w:val="decimal"/>
      <w:lvlText w:val="1.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009582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5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C54D2"/>
    <w:rsid w:val="00066123"/>
    <w:rsid w:val="000A18F9"/>
    <w:rsid w:val="000B0F81"/>
    <w:rsid w:val="000B4022"/>
    <w:rsid w:val="000C54D2"/>
    <w:rsid w:val="0015443B"/>
    <w:rsid w:val="001803BC"/>
    <w:rsid w:val="001B4810"/>
    <w:rsid w:val="00206854"/>
    <w:rsid w:val="00225C1A"/>
    <w:rsid w:val="00241693"/>
    <w:rsid w:val="002C1006"/>
    <w:rsid w:val="002C44F6"/>
    <w:rsid w:val="002F1E61"/>
    <w:rsid w:val="00302B35"/>
    <w:rsid w:val="00346AEA"/>
    <w:rsid w:val="00362924"/>
    <w:rsid w:val="00367385"/>
    <w:rsid w:val="00384EFB"/>
    <w:rsid w:val="003C38F4"/>
    <w:rsid w:val="00416333"/>
    <w:rsid w:val="004279C1"/>
    <w:rsid w:val="00447DDA"/>
    <w:rsid w:val="004544D3"/>
    <w:rsid w:val="00465887"/>
    <w:rsid w:val="004D21B3"/>
    <w:rsid w:val="004E388F"/>
    <w:rsid w:val="004F071D"/>
    <w:rsid w:val="0050595E"/>
    <w:rsid w:val="00552AE6"/>
    <w:rsid w:val="00553FF3"/>
    <w:rsid w:val="005A3C66"/>
    <w:rsid w:val="005E2883"/>
    <w:rsid w:val="006155FE"/>
    <w:rsid w:val="00635F2B"/>
    <w:rsid w:val="00684458"/>
    <w:rsid w:val="00726F5F"/>
    <w:rsid w:val="00727092"/>
    <w:rsid w:val="00732EF5"/>
    <w:rsid w:val="00750A7F"/>
    <w:rsid w:val="0075424F"/>
    <w:rsid w:val="007728B7"/>
    <w:rsid w:val="00794DCC"/>
    <w:rsid w:val="007A70D5"/>
    <w:rsid w:val="007C0EE4"/>
    <w:rsid w:val="007D7BE7"/>
    <w:rsid w:val="00805ABF"/>
    <w:rsid w:val="008404E7"/>
    <w:rsid w:val="0086435E"/>
    <w:rsid w:val="00886CAC"/>
    <w:rsid w:val="008F15BF"/>
    <w:rsid w:val="00903612"/>
    <w:rsid w:val="0095462D"/>
    <w:rsid w:val="0096104A"/>
    <w:rsid w:val="00976251"/>
    <w:rsid w:val="0098043E"/>
    <w:rsid w:val="00994056"/>
    <w:rsid w:val="009D59CE"/>
    <w:rsid w:val="009D5FC8"/>
    <w:rsid w:val="009F2125"/>
    <w:rsid w:val="009F470A"/>
    <w:rsid w:val="009F6C41"/>
    <w:rsid w:val="00A00546"/>
    <w:rsid w:val="00A1658C"/>
    <w:rsid w:val="00A20636"/>
    <w:rsid w:val="00A52D26"/>
    <w:rsid w:val="00A66820"/>
    <w:rsid w:val="00A66BAD"/>
    <w:rsid w:val="00A83F4E"/>
    <w:rsid w:val="00AA600A"/>
    <w:rsid w:val="00AC7592"/>
    <w:rsid w:val="00AD0A81"/>
    <w:rsid w:val="00AE7D59"/>
    <w:rsid w:val="00B251A4"/>
    <w:rsid w:val="00B45DA6"/>
    <w:rsid w:val="00BD2699"/>
    <w:rsid w:val="00C04D99"/>
    <w:rsid w:val="00C141F4"/>
    <w:rsid w:val="00C60195"/>
    <w:rsid w:val="00CA4EB9"/>
    <w:rsid w:val="00CE772F"/>
    <w:rsid w:val="00D136F3"/>
    <w:rsid w:val="00D16813"/>
    <w:rsid w:val="00D911C4"/>
    <w:rsid w:val="00DB6A86"/>
    <w:rsid w:val="00E23DF8"/>
    <w:rsid w:val="00E44BBA"/>
    <w:rsid w:val="00ED2B36"/>
    <w:rsid w:val="00F3683E"/>
    <w:rsid w:val="00F56A94"/>
    <w:rsid w:val="00FA1371"/>
    <w:rsid w:val="00FB0631"/>
    <w:rsid w:val="00FD7305"/>
    <w:rsid w:val="00FF4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46DB0"/>
  <w15:docId w15:val="{24316BDF-E4C7-4FC8-9A4A-92A06A73C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LptBodyText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LptBodyText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LptAbstract">
    <w:name w:val="LptAbstract"/>
    <w:basedOn w:val="a"/>
    <w:next w:val="LptBodyText"/>
    <w:qFormat/>
    <w:rsid w:val="0086435E"/>
    <w:pPr>
      <w:keepNext/>
      <w:keepLines/>
      <w:spacing w:before="720" w:after="240" w:line="360" w:lineRule="exact"/>
      <w:ind w:leftChars="200" w:left="200" w:rightChars="200" w:right="200"/>
      <w:jc w:val="both"/>
    </w:pPr>
    <w:rPr>
      <w:rFonts w:ascii="LMRoman12" w:eastAsia="宋体" w:hAnsi="LMRoman12"/>
      <w:spacing w:val="-8"/>
      <w:szCs w:val="20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FF4E68"/>
    <w:pPr>
      <w:keepNext/>
      <w:jc w:val="center"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LptAuthorBlock">
    <w:name w:val="LptAuthorBlock"/>
    <w:basedOn w:val="af0"/>
    <w:qFormat/>
    <w:rsid w:val="002C1006"/>
    <w:pPr>
      <w:spacing w:before="0" w:after="200"/>
      <w:ind w:left="0" w:right="0"/>
    </w:pPr>
    <w:rPr>
      <w:rFonts w:ascii="LMRoman12" w:eastAsia="宋体" w:hAnsi="LMRoman12"/>
      <w:i w:val="0"/>
      <w:color w:val="auto"/>
      <w:sz w:val="32"/>
    </w:rPr>
  </w:style>
  <w:style w:type="paragraph" w:customStyle="1" w:styleId="LptBodyText">
    <w:name w:val="LptBodyText"/>
    <w:basedOn w:val="a0"/>
    <w:qFormat/>
    <w:rsid w:val="007728B7"/>
    <w:pPr>
      <w:spacing w:before="0" w:after="0" w:line="360" w:lineRule="exact"/>
      <w:ind w:firstLineChars="200" w:firstLine="200"/>
      <w:jc w:val="both"/>
    </w:pPr>
    <w:rPr>
      <w:rFonts w:ascii="LMRoman12" w:eastAsia="宋体" w:hAnsi="LMRoman12"/>
      <w:spacing w:val="2"/>
    </w:rPr>
  </w:style>
  <w:style w:type="paragraph" w:customStyle="1" w:styleId="LptEquationNumbered">
    <w:name w:val="LptEquationNumbered"/>
    <w:basedOn w:val="a"/>
    <w:qFormat/>
    <w:rsid w:val="00886CAC"/>
    <w:pPr>
      <w:tabs>
        <w:tab w:val="center" w:pos="4678"/>
        <w:tab w:val="right" w:pos="9360"/>
      </w:tabs>
      <w:spacing w:beforeLines="100" w:before="100" w:after="0" w:line="360" w:lineRule="auto"/>
    </w:pPr>
    <w:rPr>
      <w:rFonts w:ascii="LMRoman12" w:eastAsia="宋体" w:hAnsi="LMRoman12"/>
    </w:rPr>
  </w:style>
  <w:style w:type="paragraph" w:customStyle="1" w:styleId="LptFigureCaption">
    <w:name w:val="LptFigureCaption"/>
    <w:basedOn w:val="a"/>
    <w:qFormat/>
    <w:rsid w:val="002C44F6"/>
    <w:pPr>
      <w:jc w:val="center"/>
    </w:pPr>
    <w:rPr>
      <w:rFonts w:ascii="LMRoman12" w:eastAsia="宋体" w:hAnsi="LMRoman12"/>
    </w:rPr>
  </w:style>
  <w:style w:type="paragraph" w:customStyle="1" w:styleId="LptKeywords">
    <w:name w:val="LptKeywords"/>
    <w:basedOn w:val="a"/>
    <w:qFormat/>
    <w:rsid w:val="0086435E"/>
    <w:pPr>
      <w:spacing w:after="360"/>
      <w:ind w:leftChars="200" w:left="200" w:rightChars="200" w:right="200"/>
      <w:jc w:val="both"/>
    </w:pPr>
    <w:rPr>
      <w:rFonts w:ascii="LMRoman12" w:eastAsia="宋体" w:hAnsi="LMRoman12"/>
      <w:spacing w:val="-12"/>
    </w:rPr>
  </w:style>
  <w:style w:type="paragraph" w:customStyle="1" w:styleId="LptPaperDate">
    <w:name w:val="LptPaperDate"/>
    <w:basedOn w:val="a"/>
    <w:qFormat/>
    <w:rsid w:val="002C1006"/>
    <w:pPr>
      <w:spacing w:after="480"/>
      <w:jc w:val="center"/>
    </w:pPr>
    <w:rPr>
      <w:rFonts w:ascii="LMRoman12" w:eastAsia="宋体" w:hAnsi="LMRoman12"/>
      <w:sz w:val="32"/>
    </w:rPr>
  </w:style>
  <w:style w:type="paragraph" w:customStyle="1" w:styleId="LptPaperTitle">
    <w:name w:val="LptPaperTitle"/>
    <w:basedOn w:val="a"/>
    <w:qFormat/>
    <w:rsid w:val="00066123"/>
    <w:pPr>
      <w:spacing w:before="720" w:after="480"/>
      <w:jc w:val="center"/>
    </w:pPr>
    <w:rPr>
      <w:rFonts w:ascii="LMRoman12" w:eastAsia="宋体" w:hAnsi="LMRoman12"/>
      <w:sz w:val="40"/>
    </w:rPr>
  </w:style>
  <w:style w:type="paragraph" w:customStyle="1" w:styleId="LptReferenceItem">
    <w:name w:val="LptReferenceItem"/>
    <w:basedOn w:val="a"/>
    <w:qFormat/>
    <w:rsid w:val="000B0F81"/>
    <w:pPr>
      <w:wordWrap w:val="0"/>
      <w:spacing w:afterLines="50" w:after="50" w:line="360" w:lineRule="exact"/>
      <w:ind w:left="150" w:hangingChars="150" w:hanging="150"/>
      <w:jc w:val="both"/>
    </w:pPr>
    <w:rPr>
      <w:rFonts w:ascii="LMRoman12" w:eastAsia="宋体" w:hAnsi="LMRoman12"/>
    </w:rPr>
  </w:style>
  <w:style w:type="paragraph" w:customStyle="1" w:styleId="LptReferencesHeading">
    <w:name w:val="LptReferencesHeading"/>
    <w:basedOn w:val="a"/>
    <w:qFormat/>
    <w:rsid w:val="00FA1371"/>
    <w:pPr>
      <w:spacing w:before="640"/>
      <w:outlineLvl w:val="0"/>
    </w:pPr>
    <w:rPr>
      <w:rFonts w:ascii="LMRoman12" w:eastAsia="黑体" w:hAnsi="LMRoman12"/>
      <w:sz w:val="32"/>
    </w:rPr>
  </w:style>
  <w:style w:type="paragraph" w:customStyle="1" w:styleId="LptTableBody">
    <w:name w:val="LptTableBody"/>
    <w:basedOn w:val="a"/>
    <w:qFormat/>
    <w:rsid w:val="00A52D26"/>
    <w:pPr>
      <w:spacing w:before="60" w:after="60"/>
    </w:pPr>
    <w:rPr>
      <w:rFonts w:ascii="LMRoman12" w:eastAsia="宋体" w:hAnsi="LMRoman12"/>
    </w:rPr>
  </w:style>
  <w:style w:type="paragraph" w:customStyle="1" w:styleId="LptTableCaption">
    <w:name w:val="LptTableCaption"/>
    <w:basedOn w:val="LptBodyText"/>
    <w:qFormat/>
  </w:style>
  <w:style w:type="paragraph" w:customStyle="1" w:styleId="LptTableHeader">
    <w:name w:val="LptTableHeader"/>
    <w:basedOn w:val="a"/>
    <w:qFormat/>
    <w:rsid w:val="00C60195"/>
    <w:pPr>
      <w:spacing w:before="120" w:after="120"/>
    </w:pPr>
    <w:rPr>
      <w:rFonts w:ascii="LMRoman12" w:eastAsia="宋体" w:hAnsi="LMRoman12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LptHeading1">
    <w:name w:val="LptHeading1"/>
    <w:basedOn w:val="a"/>
    <w:next w:val="LptBodyText"/>
    <w:uiPriority w:val="9"/>
    <w:qFormat/>
    <w:rsid w:val="00552AE6"/>
    <w:pPr>
      <w:keepNext/>
      <w:keepLines/>
      <w:numPr>
        <w:numId w:val="1"/>
      </w:numPr>
      <w:spacing w:before="480" w:after="240"/>
      <w:ind w:left="0" w:firstLine="0"/>
      <w:outlineLvl w:val="0"/>
    </w:pPr>
    <w:rPr>
      <w:rFonts w:ascii="LMRoman12" w:eastAsia="黑体" w:hAnsi="LMRoman12" w:cstheme="majorBidi"/>
      <w:sz w:val="36"/>
      <w:szCs w:val="40"/>
    </w:rPr>
  </w:style>
  <w:style w:type="paragraph" w:customStyle="1" w:styleId="LptHeading2">
    <w:name w:val="LptHeading2"/>
    <w:basedOn w:val="a"/>
    <w:next w:val="LptBodyText"/>
    <w:uiPriority w:val="9"/>
    <w:unhideWhenUsed/>
    <w:qFormat/>
    <w:rsid w:val="00684458"/>
    <w:pPr>
      <w:keepNext/>
      <w:keepLines/>
      <w:numPr>
        <w:ilvl w:val="1"/>
        <w:numId w:val="1"/>
      </w:numPr>
      <w:spacing w:before="240" w:after="120"/>
      <w:ind w:left="0" w:firstLine="0"/>
      <w:outlineLvl w:val="1"/>
    </w:pPr>
    <w:rPr>
      <w:rFonts w:ascii="LMRoman12" w:eastAsia="黑体" w:hAnsi="LMRoman12" w:cstheme="majorBidi"/>
      <w:sz w:val="32"/>
      <w:szCs w:val="32"/>
    </w:rPr>
  </w:style>
  <w:style w:type="paragraph" w:customStyle="1" w:styleId="LptHeading3">
    <w:name w:val="LptHeading3"/>
    <w:basedOn w:val="a"/>
    <w:next w:val="LptBodyText"/>
    <w:uiPriority w:val="9"/>
    <w:semiHidden/>
    <w:unhideWhenUsed/>
    <w:qFormat/>
    <w:rsid w:val="00684458"/>
    <w:pPr>
      <w:keepNext/>
      <w:keepLines/>
      <w:numPr>
        <w:ilvl w:val="2"/>
        <w:numId w:val="1"/>
      </w:numPr>
      <w:spacing w:before="160" w:after="160"/>
      <w:ind w:left="357" w:hanging="357"/>
      <w:outlineLvl w:val="2"/>
    </w:pPr>
    <w:rPr>
      <w:rFonts w:ascii="LMRoman12" w:eastAsia="黑体" w:hAnsi="LMRoman12" w:cstheme="majorBidi"/>
      <w:szCs w:val="28"/>
    </w:rPr>
  </w:style>
  <w:style w:type="paragraph" w:styleId="af0">
    <w:name w:val="Quote"/>
    <w:basedOn w:val="a"/>
    <w:next w:val="a"/>
    <w:link w:val="af1"/>
    <w:rsid w:val="00750A7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f1">
    <w:name w:val="引用 字符"/>
    <w:basedOn w:val="a1"/>
    <w:link w:val="af0"/>
    <w:rsid w:val="00750A7F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www.compositesworld.com/articles/composites-opportunities-in-evtol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doi.org/10.2514/6.2020-268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i.org/10.1016/0022-460X(69)90125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D4CFD4-FD3E-48BC-8A7F-63400CDFA1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5</Pages>
  <Words>460</Words>
  <Characters>2627</Characters>
  <Application>Microsoft Office Word</Application>
  <DocSecurity>0</DocSecurity>
  <Lines>21</Lines>
  <Paragraphs>6</Paragraphs>
  <ScaleCrop>false</ScaleCrop>
  <Company/>
  <LinksUpToDate>false</LinksUpToDate>
  <CharactersWithSpaces>3081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Fan Yang</cp:lastModifiedBy>
  <cp:revision>70</cp:revision>
  <dcterms:created xsi:type="dcterms:W3CDTF">2026-06-02T04:27:00Z</dcterms:created>
  <dcterms:modified xsi:type="dcterms:W3CDTF">2026-06-02T06:45:00Z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temp-ref.bib</vt:lpwstr>
  </property>
  <property fmtid="{D5CDD505-2E9C-101B-9397-08002B2CF9AE}" pid="3" name="csl">
    <vt:lpwstr>temp-ref.csl</vt:lpwstr>
  </property>
</Properties>
</file>