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color w:val="auto"/>
          <w:sz w:val="28"/>
          <w:szCs w:val="28"/>
          <w:highlight w:val="none"/>
        </w:rPr>
      </w:pPr>
      <w:r>
        <w:rPr>
          <w:rFonts w:hint="eastAsia" w:ascii="宋体" w:hAnsi="宋体"/>
          <w:b/>
          <w:color w:val="auto"/>
          <w:sz w:val="28"/>
          <w:szCs w:val="28"/>
          <w:highlight w:val="non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118745</wp:posOffset>
            </wp:positionV>
            <wp:extent cx="1388110" cy="668655"/>
            <wp:effectExtent l="0" t="0" r="0" b="17145"/>
            <wp:wrapNone/>
            <wp:docPr id="4" name="图片 2" descr="201210301529437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201210301529437266"/>
                    <pic:cNvPicPr>
                      <a:picLocks noChangeAspect="1"/>
                    </pic:cNvPicPr>
                  </pic:nvPicPr>
                  <pic:blipFill>
                    <a:blip r:embed="rId5">
                      <a:lum bright="-23999" contrast="6000"/>
                    </a:blip>
                    <a:srcRect r="75902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color w:val="auto"/>
          <w:sz w:val="28"/>
          <w:szCs w:val="28"/>
          <w:highlight w:val="none"/>
          <w:lang w:val="en-US" w:eastAsia="zh-CN"/>
        </w:rPr>
        <w:t xml:space="preserve"> </w:t>
      </w:r>
    </w:p>
    <w:p>
      <w:pPr>
        <w:ind w:firstLine="3253" w:firstLineChars="900"/>
        <w:jc w:val="both"/>
        <w:rPr>
          <w:rFonts w:hint="eastAsia" w:ascii="宋体" w:hAnsi="宋体"/>
          <w:b/>
          <w:color w:val="auto"/>
          <w:sz w:val="36"/>
          <w:szCs w:val="36"/>
          <w:highlight w:val="none"/>
        </w:rPr>
      </w:pPr>
      <w:r>
        <w:rPr>
          <w:rFonts w:hint="eastAsia" w:ascii="宋体" w:hAnsi="宋体"/>
          <w:b/>
          <w:color w:val="auto"/>
          <w:sz w:val="36"/>
          <w:szCs w:val="36"/>
          <w:highlight w:val="none"/>
        </w:rPr>
        <w:t>深圳</w:t>
      </w:r>
      <w:r>
        <w:rPr>
          <w:rFonts w:hint="eastAsia"/>
          <w:b/>
          <w:color w:val="auto"/>
          <w:sz w:val="36"/>
          <w:szCs w:val="36"/>
          <w:highlight w:val="none"/>
          <w:lang w:val="en-US" w:eastAsia="zh-CN"/>
        </w:rPr>
        <w:t>莱斯迈迪立体电路科技</w:t>
      </w:r>
      <w:r>
        <w:rPr>
          <w:rFonts w:hint="eastAsia" w:ascii="宋体" w:hAnsi="宋体"/>
          <w:b/>
          <w:color w:val="auto"/>
          <w:sz w:val="36"/>
          <w:szCs w:val="36"/>
          <w:highlight w:val="none"/>
        </w:rPr>
        <w:t>有限公司</w:t>
      </w:r>
    </w:p>
    <w:p>
      <w:pPr>
        <w:rPr>
          <w:rFonts w:hint="eastAsia" w:ascii="宋体" w:hAnsi="宋体"/>
          <w:b/>
          <w:color w:val="auto"/>
          <w:sz w:val="32"/>
          <w:szCs w:val="32"/>
          <w:highlight w:val="none"/>
        </w:rPr>
      </w:pPr>
      <w:r>
        <w:rPr>
          <w:rFonts w:hint="eastAsia" w:ascii="宋体" w:hAnsi="宋体"/>
          <w:b/>
          <w:color w:val="auto"/>
          <w:sz w:val="32"/>
          <w:szCs w:val="32"/>
          <w:highlight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49530</wp:posOffset>
                </wp:positionV>
                <wp:extent cx="6105525" cy="0"/>
                <wp:effectExtent l="0" t="0" r="0" b="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-19.9pt;margin-top:3.9pt;height:0pt;width:480.75pt;z-index:251661312;mso-width-relative:page;mso-height-relative:page;" filled="f" stroked="t" coordsize="21600,21600" o:gfxdata="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pj+XLWAAAABwEAAA8AAAAAAAAAAQAgAAAAIgAA&#10;AGRycy9kb3ducmV2LnhtbFBLAQIUABQAAAAIAIdO4kBNFxdK0QEAAI4DAAAOAAAAAAAAAAEAIAAA&#10;ACUBAABkcnMvZTJvRG9jLnhtbFBLBQYAAAAABgAGAFkBAABoBQAAAAA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宋体" w:hAnsi="宋体"/>
          <w:b/>
          <w:color w:val="auto"/>
          <w:sz w:val="56"/>
          <w:szCs w:val="84"/>
          <w:highlight w:val="none"/>
        </w:rPr>
      </w:pPr>
    </w:p>
    <w:p>
      <w:pPr>
        <w:rPr>
          <w:rFonts w:hint="eastAsia" w:ascii="宋体" w:hAnsi="宋体"/>
          <w:b/>
          <w:color w:val="auto"/>
          <w:sz w:val="56"/>
          <w:szCs w:val="84"/>
          <w:highlight w:val="none"/>
        </w:rPr>
      </w:pPr>
    </w:p>
    <w:p>
      <w:pPr>
        <w:spacing w:line="1020" w:lineRule="exact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科技成果转化奖励制度</w:t>
      </w: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2672715</wp:posOffset>
                </wp:positionH>
                <wp:positionV relativeFrom="page">
                  <wp:posOffset>6437630</wp:posOffset>
                </wp:positionV>
                <wp:extent cx="2689225" cy="503555"/>
                <wp:effectExtent l="0" t="0" r="0" b="0"/>
                <wp:wrapNone/>
                <wp:docPr id="2" name="矩形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89225" cy="50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编制日期：二零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  <w:sz w:val="32"/>
                                <w:lang w:val="en-US" w:eastAsia="zh-CN"/>
                              </w:rPr>
                              <w:t>六</w:t>
                            </w:r>
                            <w:r>
                              <w:rPr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32"/>
                                <w:lang w:val="en-US" w:eastAsia="zh-CN"/>
                              </w:rPr>
                              <w:t>六</w:t>
                            </w:r>
                            <w:r>
                              <w:rPr>
                                <w:sz w:val="32"/>
                              </w:rPr>
                              <w:t>月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0.45pt;margin-top:506.9pt;height:39.65pt;width:211.75pt;mso-position-horizontal-relative:page;mso-position-vertical-relative:page;z-index:251660288;v-text-anchor:middle;mso-width-relative:page;mso-height-relative:page;" filled="f" stroked="f" coordsize="21600,21600" o:gfxdata="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EM8CytcAAAANAQAADwAA&#10;AAAAAAABACAAAAAiAAAAZHJzL2Rvd25yZXYueG1sUEsBAhQAFAAAAAgAh07iQGJsCWqlAQAALAMA&#10;AA4AAAAAAAAAAQAgAAAAJgEAAGRycy9lMm9Eb2MueG1sUEsFBgAAAAAGAAYAWQEAAD0FAAAAAA==&#10;">
                <v:fill on="f" focussize="0,0"/>
                <v:stroke on="f"/>
                <v:imagedata o:title=""/>
                <o:lock v:ext="edit" grouping="t" aspectratio="f"/>
                <v:textbox>
                  <w:txbxContent>
                    <w:p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编制日期：二零</w:t>
                      </w:r>
                      <w:r>
                        <w:rPr>
                          <w:rFonts w:hint="eastAsia"/>
                          <w:sz w:val="32"/>
                        </w:rPr>
                        <w:t>一</w:t>
                      </w:r>
                      <w:r>
                        <w:rPr>
                          <w:rFonts w:hint="eastAsia"/>
                          <w:sz w:val="32"/>
                          <w:lang w:val="en-US" w:eastAsia="zh-CN"/>
                        </w:rPr>
                        <w:t>六</w:t>
                      </w:r>
                      <w:r>
                        <w:rPr>
                          <w:sz w:val="32"/>
                        </w:rPr>
                        <w:t>年</w:t>
                      </w:r>
                      <w:r>
                        <w:rPr>
                          <w:rFonts w:hint="eastAsia"/>
                          <w:sz w:val="32"/>
                          <w:lang w:val="en-US" w:eastAsia="zh-CN"/>
                        </w:rPr>
                        <w:t>六</w:t>
                      </w:r>
                      <w:r>
                        <w:rPr>
                          <w:sz w:val="32"/>
                        </w:rPr>
                        <w:t>月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tbl>
      <w:tblPr>
        <w:tblStyle w:val="5"/>
        <w:tblpPr w:leftFromText="180" w:rightFromText="180" w:vertAnchor="text" w:horzAnchor="page" w:tblpX="2227" w:tblpY="1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华文楷体" w:hAnsi="华文楷体" w:eastAsia="华文楷体"/>
                <w:sz w:val="24"/>
              </w:rPr>
            </w:pPr>
            <w:r>
              <w:rPr>
                <w:rFonts w:hint="eastAsia" w:ascii="华文楷体" w:hAnsi="华文楷体" w:eastAsia="华文楷体"/>
                <w:sz w:val="24"/>
              </w:rPr>
              <w:t>编 制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华文楷体" w:hAnsi="华文楷体" w:eastAsia="华文楷体"/>
                <w:sz w:val="24"/>
              </w:rPr>
            </w:pPr>
            <w:r>
              <w:rPr>
                <w:rFonts w:hint="eastAsia" w:ascii="华文楷体" w:hAnsi="华文楷体" w:eastAsia="华文楷体"/>
                <w:sz w:val="24"/>
              </w:rPr>
              <w:t>审 核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华文楷体" w:hAnsi="华文楷体" w:eastAsia="华文楷体"/>
                <w:sz w:val="24"/>
              </w:rPr>
            </w:pPr>
            <w:r>
              <w:rPr>
                <w:rFonts w:hint="eastAsia" w:ascii="华文楷体" w:hAnsi="华文楷体" w:eastAsia="华文楷体"/>
                <w:sz w:val="24"/>
              </w:rPr>
              <w:t>批 准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华文楷体" w:hAnsi="华文楷体" w:eastAsia="华文楷体"/>
                <w:sz w:val="24"/>
              </w:rPr>
            </w:pPr>
            <w:r>
              <w:rPr>
                <w:rFonts w:hint="eastAsia" w:ascii="华文楷体" w:hAnsi="华文楷体" w:eastAsia="华文楷体"/>
                <w:sz w:val="24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华文楷体" w:hAnsi="华文楷体" w:eastAsia="华文楷体"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lang w:val="en-US" w:eastAsia="zh-CN"/>
              </w:rPr>
              <w:t>研发部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华文楷体" w:hAnsi="华文楷体" w:eastAsia="华文楷体"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lang w:val="en-US" w:eastAsia="zh-CN"/>
              </w:rPr>
              <w:t>行政部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华文楷体" w:hAnsi="华文楷体" w:eastAsia="华文楷体"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lang w:val="en-US" w:eastAsia="zh-CN"/>
              </w:rPr>
              <w:t>总经办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华文楷体" w:hAnsi="华文楷体" w:eastAsia="华文楷体"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24"/>
                <w:lang w:val="en-US" w:eastAsia="zh-CN"/>
              </w:rPr>
              <w:t>2016.07.01</w:t>
            </w:r>
          </w:p>
        </w:tc>
      </w:tr>
    </w:tbl>
    <w:p>
      <w:pPr>
        <w:jc w:val="center"/>
        <w:rPr>
          <w:rFonts w:hint="eastAsia"/>
          <w:b/>
          <w:sz w:val="48"/>
          <w:szCs w:val="48"/>
        </w:rPr>
      </w:pPr>
    </w:p>
    <w:p>
      <w:pPr>
        <w:spacing w:line="580" w:lineRule="exact"/>
        <w:ind w:firstLine="0" w:firstLineChars="0"/>
        <w:rPr>
          <w:rFonts w:hint="eastAsia" w:ascii="黑体" w:hAnsi="黑体" w:eastAsia="黑体"/>
          <w:sz w:val="32"/>
          <w:szCs w:val="32"/>
        </w:rPr>
      </w:pPr>
    </w:p>
    <w:p>
      <w:pPr>
        <w:spacing w:line="580" w:lineRule="exact"/>
        <w:ind w:firstLine="0" w:firstLineChars="0"/>
        <w:rPr>
          <w:rFonts w:hint="eastAsia"/>
          <w:sz w:val="32"/>
          <w:szCs w:val="32"/>
        </w:rPr>
      </w:pPr>
    </w:p>
    <w:p>
      <w:pPr>
        <w:spacing w:line="580" w:lineRule="exact"/>
        <w:ind w:firstLine="0" w:firstLineChars="0"/>
        <w:rPr>
          <w:rFonts w:hint="eastAsia"/>
          <w:sz w:val="32"/>
          <w:szCs w:val="32"/>
        </w:rPr>
      </w:pPr>
    </w:p>
    <w:p>
      <w:pPr>
        <w:spacing w:line="580" w:lineRule="exact"/>
        <w:ind w:firstLine="0" w:firstLineChars="0"/>
        <w:rPr>
          <w:rFonts w:hint="eastAsia"/>
          <w:sz w:val="32"/>
          <w:szCs w:val="32"/>
        </w:rPr>
      </w:pPr>
    </w:p>
    <w:p>
      <w:pPr>
        <w:spacing w:line="580" w:lineRule="exact"/>
        <w:ind w:firstLine="0" w:firstLineChars="0"/>
        <w:rPr>
          <w:rFonts w:hint="eastAsia"/>
          <w:sz w:val="32"/>
          <w:szCs w:val="32"/>
        </w:rPr>
      </w:pPr>
    </w:p>
    <w:p>
      <w:pPr>
        <w:spacing w:line="580" w:lineRule="exact"/>
        <w:ind w:firstLine="0" w:firstLineChars="0"/>
        <w:jc w:val="both"/>
        <w:rPr>
          <w:rFonts w:hint="eastAsia" w:ascii="仿宋_GB2312" w:hAnsi="宋体" w:eastAsia="仿宋_GB2312"/>
          <w:b/>
          <w:bCs/>
          <w:sz w:val="44"/>
          <w:szCs w:val="44"/>
          <w:lang w:eastAsia="zh-CN"/>
        </w:rPr>
      </w:pPr>
    </w:p>
    <w:p>
      <w:pPr>
        <w:numPr>
          <w:ilvl w:val="0"/>
          <w:numId w:val="1"/>
        </w:numPr>
        <w:spacing w:line="580" w:lineRule="exact"/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  <w:t xml:space="preserve"> 目的 </w:t>
      </w:r>
    </w:p>
    <w:p>
      <w:pPr>
        <w:numPr>
          <w:ilvl w:val="0"/>
          <w:numId w:val="0"/>
        </w:numPr>
        <w:spacing w:line="580" w:lineRule="exact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为提高科研人员的积极性，激发科研潜能，根据公司研发部的工作实际，制定本公司研发部科技成果转化奖励制度。</w:t>
      </w:r>
    </w:p>
    <w:p>
      <w:pPr>
        <w:spacing w:line="580" w:lineRule="exact"/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  <w:t>第二条  基本原则</w:t>
      </w:r>
    </w:p>
    <w:p>
      <w:pPr>
        <w:spacing w:line="580" w:lineRule="exact"/>
        <w:ind w:firstLine="64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公司对于参与产品开发的各项目小组，依据承担科研任务的比重及对科研成果的贡献程度，按股份制形式进行成果收益的分配。</w:t>
      </w:r>
    </w:p>
    <w:p>
      <w:pPr>
        <w:spacing w:line="580" w:lineRule="exact"/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  <w:t>第三条  成果收益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成果收益主要体现为如下两种形式：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1、研发部将研究成果向本公司外的企业进行转让获得成果转让费。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2、研究成果在本企业使用获得生产效益。</w:t>
      </w:r>
    </w:p>
    <w:p>
      <w:pPr>
        <w:spacing w:line="580" w:lineRule="exact"/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  <w:t>第四条  奖励对象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1、在公司主要产品的研究开发、生产制造等领域的基础研究、应用研究和工程化开发等方面投入科研经费的企业。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2、为研究过程提供软硬件支持的公司相关部门。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3、核心参与主要产品的研究开发、生产制造等领域的基础研究、应用研究和工程化开发工作，获得重要研究成果，并且在应用实践中取得良好的经济效益的研究人员。</w:t>
      </w:r>
    </w:p>
    <w:p>
      <w:pPr>
        <w:spacing w:line="580" w:lineRule="exact"/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  <w:t>第五条  成果收益的整体分配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1、研究成果收益分配主要体现科研经费投入主体、科研软硬件平台、科研人员三个方面。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2、当科研成果收益体现为成果转让费时，按如下规则进行收益分配：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科研经费全部来自公司的，成果收益的10%归研发部，10%归科研人员，80%归企业所有；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科研经费来自合作企业或者其他科研机构的，其在成果收益中占40%，公司研发部在成果收益中占20%，科研人员在成果收益中占40%；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研究经费来自国家纵向科研经费的，研发部在成果收益中占40%，科研人员在成果收益中占60%。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3、当成果收益体现为合作企业的生产效益时，企业须将生产效益的8%作为本公司研发部的成果收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  <w:lang w:val="en-US" w:eastAsia="zh-CN"/>
        </w:rPr>
        <w:t>益，12%作为公司研发部研发人员的成果收益。</w:t>
      </w:r>
    </w:p>
    <w:p>
      <w:pPr>
        <w:spacing w:line="580" w:lineRule="exact"/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  <w:t>第六条  成果收益的人员分配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1、成果收益的人员分配主要依据研究人员承担科研任务情况，采用“事先认定、事后调整”的方式进行。承担任务比重及对科研成果的贡献程度。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2、事先认定：在研究工作开展之前，依据研发人员的研究内容重要性、工作量大小和难易程度等确定其收益比例。</w:t>
      </w:r>
    </w:p>
    <w:p>
      <w:pPr>
        <w:spacing w:line="580" w:lineRule="exact"/>
        <w:ind w:firstLine="274" w:firstLineChars="98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3、事后调整：在研究工作完成后，按照科研人员对科研成果的贡献程度确定最终的收益比例。</w:t>
      </w:r>
    </w:p>
    <w:p>
      <w:pPr>
        <w:numPr>
          <w:ilvl w:val="0"/>
          <w:numId w:val="2"/>
        </w:numPr>
        <w:spacing w:line="580" w:lineRule="exact"/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8"/>
          <w:szCs w:val="28"/>
          <w:lang w:val="en-US" w:eastAsia="zh-CN"/>
        </w:rPr>
        <w:t xml:space="preserve"> 附则</w:t>
      </w:r>
    </w:p>
    <w:p>
      <w:pPr>
        <w:numPr>
          <w:ilvl w:val="0"/>
          <w:numId w:val="0"/>
        </w:numPr>
        <w:spacing w:line="580" w:lineRule="exact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1、成果收益的奖励制度是年薪制、绩效奖励制度并列的研究人员激励制度，研究人员的成果收益不影响其年薪和绩效奖励的发放。</w:t>
      </w:r>
    </w:p>
    <w:p>
      <w:pPr>
        <w:spacing w:line="580" w:lineRule="exact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2、本文件由公司总经办批准，协同研发部负责解释，自生效之日起执行。</w:t>
      </w:r>
    </w:p>
    <w:p>
      <w:pPr>
        <w:spacing w:line="580" w:lineRule="exact"/>
        <w:ind w:firstLine="313" w:firstLineChars="98"/>
        <w:rPr>
          <w:rFonts w:hint="eastAsia" w:ascii="仿宋_GB2312" w:eastAsia="仿宋_GB2312"/>
          <w:sz w:val="32"/>
          <w:szCs w:val="32"/>
          <w:lang w:val="en-US" w:eastAsia="zh-CN"/>
        </w:rPr>
      </w:pPr>
    </w:p>
    <w:p>
      <w:pPr>
        <w:spacing w:line="580" w:lineRule="exact"/>
        <w:ind w:firstLine="313" w:firstLineChars="98"/>
        <w:jc w:val="right"/>
        <w:rPr>
          <w:rFonts w:hint="eastAsia" w:ascii="仿宋_GB2312" w:eastAsia="仿宋_GB2312"/>
          <w:sz w:val="32"/>
          <w:szCs w:val="32"/>
          <w:lang w:val="en-US" w:eastAsia="zh-CN"/>
        </w:rPr>
      </w:pPr>
    </w:p>
    <w:sectPr>
      <w:headerReference r:id="rId3" w:type="default"/>
      <w:pgSz w:w="11906" w:h="16838"/>
      <w:pgMar w:top="1417" w:right="1417" w:bottom="1417" w:left="141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right"/>
      <w:rPr>
        <w:rFonts w:hint="eastAsia"/>
        <w:lang w:val="en-US" w:eastAsia="zh-CN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-100330</wp:posOffset>
          </wp:positionH>
          <wp:positionV relativeFrom="paragraph">
            <wp:posOffset>27305</wp:posOffset>
          </wp:positionV>
          <wp:extent cx="920750" cy="306705"/>
          <wp:effectExtent l="0" t="0" r="0" b="17145"/>
          <wp:wrapNone/>
          <wp:docPr id="1" name="图片 25" descr="莱斯迈迪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5" descr="莱斯迈迪"/>
                  <pic:cNvPicPr>
                    <a:picLocks noChangeAspect="1"/>
                  </pic:cNvPicPr>
                </pic:nvPicPr>
                <pic:blipFill>
                  <a:blip r:embed="rId1"/>
                  <a:srcRect b="27026"/>
                  <a:stretch>
                    <a:fillRect/>
                  </a:stretch>
                </pic:blipFill>
                <pic:spPr>
                  <a:xfrm>
                    <a:off x="0" y="0"/>
                    <a:ext cx="920750" cy="3067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3"/>
      <w:pBdr>
        <w:bottom w:val="single" w:color="auto" w:sz="4" w:space="1"/>
      </w:pBdr>
      <w:jc w:val="right"/>
    </w:pPr>
    <w:r>
      <w:rPr>
        <w:rFonts w:hint="eastAsia"/>
        <w:lang w:val="en-US" w:eastAsia="zh-CN"/>
      </w:rPr>
      <w:t xml:space="preserve">                 </w:t>
    </w:r>
    <w:r>
      <w:rPr>
        <w:rFonts w:hint="eastAsia"/>
        <w:sz w:val="21"/>
        <w:szCs w:val="21"/>
        <w:lang w:val="en-US" w:eastAsia="zh-CN"/>
      </w:rPr>
      <w:t>科技成果转化奖励制度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9F470"/>
    <w:multiLevelType w:val="singleLevel"/>
    <w:tmpl w:val="5769F470"/>
    <w:lvl w:ilvl="0" w:tentative="0">
      <w:start w:val="1"/>
      <w:numFmt w:val="chineseCounting"/>
      <w:suff w:val="space"/>
      <w:lvlText w:val="第%1条"/>
      <w:lvlJc w:val="left"/>
    </w:lvl>
  </w:abstractNum>
  <w:abstractNum w:abstractNumId="1">
    <w:nsid w:val="5769F5C8"/>
    <w:multiLevelType w:val="singleLevel"/>
    <w:tmpl w:val="5769F5C8"/>
    <w:lvl w:ilvl="0" w:tentative="0">
      <w:start w:val="7"/>
      <w:numFmt w:val="chineseCounting"/>
      <w:suff w:val="space"/>
      <w:lvlText w:val="第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24C9E"/>
    <w:rsid w:val="24E77EFF"/>
    <w:rsid w:val="25006959"/>
    <w:rsid w:val="36EF1C31"/>
    <w:rsid w:val="3FE2448C"/>
    <w:rsid w:val="45210193"/>
    <w:rsid w:val="4CD02761"/>
    <w:rsid w:val="4DEA56C8"/>
    <w:rsid w:val="5B7B2A38"/>
    <w:rsid w:val="6CFA0B3F"/>
    <w:rsid w:val="71892A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cs="Arial Unicode MS"/>
      <w:sz w:val="18"/>
      <w:szCs w:val="24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cs="Arial Unicode MS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940</Words>
  <Characters>979</Characters>
  <Lines>0</Lines>
  <Paragraphs>0</Paragraphs>
  <ScaleCrop>false</ScaleCrop>
  <LinksUpToDate>false</LinksUpToDate>
  <CharactersWithSpaces>1048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陈小春</cp:lastModifiedBy>
  <dcterms:modified xsi:type="dcterms:W3CDTF">2018-05-31T03:18:08Z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