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Azure Services Required</w:t>
      </w:r>
    </w:p>
    <w:p>
      <w:pPr>
        <w:jc w:val="center"/>
      </w:pPr>
      <w:r>
        <w:rPr>
          <w:b/>
          <w:sz w:val="24"/>
        </w:rPr>
        <w:t>Azure Hybrid Identity with Password Hash Synchronisation</w:t>
      </w:r>
    </w:p>
    <w:p>
      <w:r>
        <w:rPr>
          <w:b/>
          <w:sz w:val="24"/>
        </w:rPr>
        <w:t>1. Microsoft Azure</w:t>
      </w:r>
    </w:p>
    <w:p>
      <w:r>
        <w:t>Microsoft Azure provides the cloud environment in which the hybrid identity laboratory is hosted. The Azure subscription is used to provision the virtual machine and supporting networking resources required for the project. For this implementation, only the resources necessary for the identity lab should be deployed to control cost and resource usage.</w:t>
      </w:r>
    </w:p>
    <w:p>
      <w:r>
        <w:rPr>
          <w:b/>
          <w:sz w:val="24"/>
        </w:rPr>
        <w:t>2. Azure Virtual Network (VNet)</w:t>
      </w:r>
    </w:p>
    <w:p>
      <w:r>
        <w:t>An Azure Virtual Network provides the private network environment for the Windows Server virtual machine. The VNet and its subnet allow the server to communicate with required Azure and identity services while providing a controlled network boundary for the laboratory environment. Network security rules can be configured where required to restrict unnecessary inbound and outbound traffic.</w:t>
      </w:r>
    </w:p>
    <w:p>
      <w:r>
        <w:rPr>
          <w:b/>
          <w:sz w:val="24"/>
        </w:rPr>
        <w:t>3. Azure Virtual Machine</w:t>
      </w:r>
    </w:p>
    <w:p>
      <w:r>
        <w:t>An Azure Virtual Machine running Windows Server is used to host the on-premises identity components required for the demonstration. Active Directory Domain Services and Microsoft Entra Connect can be installed on this server for the lab. In a production environment, these roles would normally be designed with additional servers and separation according to Microsoft's recommended architecture; the combined setup is used here as a controlled academic demonstration.</w:t>
      </w:r>
    </w:p>
    <w:p>
      <w:r>
        <w:rPr>
          <w:b/>
          <w:sz w:val="24"/>
        </w:rPr>
        <w:t>4. Active Directory Domain Services (AD DS)</w:t>
      </w:r>
    </w:p>
    <w:p>
      <w:r>
        <w:t>Active Directory Domain Services provides the on-premises identity directory. It stores the project's test users, groups and organizational units and acts as the source directory for synchronization. Although AD DS is a Windows Server role rather than an Azure service, it is a core component of the hybrid architecture and therefore must be included in the required technology stack.</w:t>
      </w:r>
    </w:p>
    <w:p>
      <w:r>
        <w:rPr>
          <w:b/>
          <w:sz w:val="24"/>
        </w:rPr>
        <w:t>5. Microsoft Entra ID</w:t>
      </w:r>
    </w:p>
    <w:p>
      <w:r>
        <w:t>Microsoft Entra ID is the cloud identity and access management service used by the project. It receives synchronized identities from the on-premises Active Directory environment and provides cloud authentication and access control for supported applications and Azure resources.</w:t>
      </w:r>
    </w:p>
    <w:p>
      <w:r>
        <w:rPr>
          <w:b/>
          <w:sz w:val="24"/>
        </w:rPr>
        <w:t>6. Microsoft Entra Connect</w:t>
      </w:r>
    </w:p>
    <w:p>
      <w:r>
        <w:t>Microsoft Entra Connect provides the synchronization mechanism between Active Directory and Microsoft Entra ID. It is installed on the Windows Server and is configured to synchronize selected users, groups and identity attributes. The project uses it to demonstrate hybrid identity synchronization and Password Hash Synchronisation.</w:t>
      </w:r>
    </w:p>
    <w:p>
      <w:r>
        <w:rPr>
          <w:b/>
          <w:sz w:val="24"/>
        </w:rPr>
        <w:t>7. Password Hash Synchronisation (PHS)</w:t>
      </w:r>
    </w:p>
    <w:p>
      <w:r>
        <w:t>Password Hash Synchronisation is the selected authentication method for this project. It enables password-derived information from on-premises Active Directory to be synchronized to Microsoft Entra ID. The original plaintext password is not synchronized. This allows users to use the same password for supported cloud authentication scenarios.</w:t>
      </w:r>
    </w:p>
    <w:p>
      <w:r>
        <w:rPr>
          <w:b/>
          <w:sz w:val="24"/>
        </w:rPr>
        <w:t>8. Azure Resource Group</w:t>
      </w:r>
    </w:p>
    <w:p>
      <w:r>
        <w:t>The Azure Resource Group provides a logical container for the Azure resources used by the project. The virtual machine, virtual network and related resources can be managed together, making it easier to monitor, configure and remove the complete laboratory environment when the project is finished.</w:t>
      </w:r>
    </w:p>
    <w:p>
      <w:r>
        <w:rPr>
          <w:b/>
          <w:sz w:val="24"/>
        </w:rPr>
        <w:t>9. Azure Storage (Optional)</w:t>
      </w:r>
    </w:p>
    <w:p>
      <w:r>
        <w:t>Azure Storage is not required for the core Password Hash Synchronisation workflow. It may be used optionally for storing project-related logs, exported configuration information or other non-sensitive project artifacts. It should not be introduced unless the implementation requires it.</w:t>
      </w:r>
    </w:p>
    <w:p>
      <w:r>
        <w:rPr>
          <w:b/>
          <w:sz w:val="24"/>
        </w:rPr>
        <w:t>10. Azure Monitor / Activity Logs (Optional)</w:t>
      </w:r>
    </w:p>
    <w:p>
      <w:r>
        <w:t>Azure Monitor and Azure Activity Logs can optionally be used to observe Azure resource activity and assist with infrastructure-level troubleshooting. They are supporting services rather than core requirements for the PHS demonstration.</w:t>
      </w:r>
    </w:p>
    <w:p>
      <w:r>
        <w:rPr>
          <w:b/>
          <w:sz w:val="24"/>
        </w:rPr>
        <w:t>Service Summary</w:t>
      </w:r>
    </w:p>
    <w:tbl>
      <w:tblPr>
        <w:tblStyle w:val="TableGrid"/>
        <w:tblW w:type="auto" w:w="0"/>
        <w:tblLook w:firstColumn="1" w:firstRow="1" w:lastColumn="0" w:lastRow="0" w:noHBand="0" w:noVBand="1" w:val="04A0"/>
      </w:tblPr>
      <w:tblGrid>
        <w:gridCol w:w="3360"/>
        <w:gridCol w:w="3360"/>
        <w:gridCol w:w="3360"/>
      </w:tblGrid>
      <w:tr>
        <w:tc>
          <w:tcPr>
            <w:tcW w:type="dxa" w:w="3360"/>
          </w:tcPr>
          <w:p>
            <w:r>
              <w:t>Service / Component</w:t>
            </w:r>
          </w:p>
        </w:tc>
        <w:tc>
          <w:tcPr>
            <w:tcW w:type="dxa" w:w="3360"/>
          </w:tcPr>
          <w:p>
            <w:r>
              <w:t>Required?</w:t>
            </w:r>
          </w:p>
        </w:tc>
        <w:tc>
          <w:tcPr>
            <w:tcW w:type="dxa" w:w="3360"/>
          </w:tcPr>
          <w:p>
            <w:r>
              <w:t>Purpose</w:t>
            </w:r>
          </w:p>
        </w:tc>
      </w:tr>
      <w:tr>
        <w:tc>
          <w:tcPr>
            <w:tcW w:type="dxa" w:w="3360"/>
          </w:tcPr>
          <w:p>
            <w:r>
              <w:t>Azure Subscription</w:t>
            </w:r>
          </w:p>
        </w:tc>
        <w:tc>
          <w:tcPr>
            <w:tcW w:type="dxa" w:w="3360"/>
          </w:tcPr>
          <w:p>
            <w:r>
              <w:t>Yes</w:t>
            </w:r>
          </w:p>
        </w:tc>
        <w:tc>
          <w:tcPr>
            <w:tcW w:type="dxa" w:w="3360"/>
          </w:tcPr>
          <w:p>
            <w:r>
              <w:t>Provides the cloud environment and billing/credit boundary.</w:t>
            </w:r>
          </w:p>
        </w:tc>
      </w:tr>
      <w:tr>
        <w:tc>
          <w:tcPr>
            <w:tcW w:type="dxa" w:w="3360"/>
          </w:tcPr>
          <w:p>
            <w:r>
              <w:t>Resource Group</w:t>
            </w:r>
          </w:p>
        </w:tc>
        <w:tc>
          <w:tcPr>
            <w:tcW w:type="dxa" w:w="3360"/>
          </w:tcPr>
          <w:p>
            <w:r>
              <w:t>Yes</w:t>
            </w:r>
          </w:p>
        </w:tc>
        <w:tc>
          <w:tcPr>
            <w:tcW w:type="dxa" w:w="3360"/>
          </w:tcPr>
          <w:p>
            <w:r>
              <w:t>Organizes project resources.</w:t>
            </w:r>
          </w:p>
        </w:tc>
      </w:tr>
      <w:tr>
        <w:tc>
          <w:tcPr>
            <w:tcW w:type="dxa" w:w="3360"/>
          </w:tcPr>
          <w:p>
            <w:r>
              <w:t>Virtual Network</w:t>
            </w:r>
          </w:p>
        </w:tc>
        <w:tc>
          <w:tcPr>
            <w:tcW w:type="dxa" w:w="3360"/>
          </w:tcPr>
          <w:p>
            <w:r>
              <w:t>Yes</w:t>
            </w:r>
          </w:p>
        </w:tc>
        <w:tc>
          <w:tcPr>
            <w:tcW w:type="dxa" w:w="3360"/>
          </w:tcPr>
          <w:p>
            <w:r>
              <w:t>Provides the VM's private network environment.</w:t>
            </w:r>
          </w:p>
        </w:tc>
      </w:tr>
      <w:tr>
        <w:tc>
          <w:tcPr>
            <w:tcW w:type="dxa" w:w="3360"/>
          </w:tcPr>
          <w:p>
            <w:r>
              <w:t>Windows Server VM</w:t>
            </w:r>
          </w:p>
        </w:tc>
        <w:tc>
          <w:tcPr>
            <w:tcW w:type="dxa" w:w="3360"/>
          </w:tcPr>
          <w:p>
            <w:r>
              <w:t>Yes</w:t>
            </w:r>
          </w:p>
        </w:tc>
        <w:tc>
          <w:tcPr>
            <w:tcW w:type="dxa" w:w="3360"/>
          </w:tcPr>
          <w:p>
            <w:r>
              <w:t>Hosts AD DS and Microsoft Entra Connect for the lab.</w:t>
            </w:r>
          </w:p>
        </w:tc>
      </w:tr>
      <w:tr>
        <w:tc>
          <w:tcPr>
            <w:tcW w:type="dxa" w:w="3360"/>
          </w:tcPr>
          <w:p>
            <w:r>
              <w:t>Active Directory DS</w:t>
            </w:r>
          </w:p>
        </w:tc>
        <w:tc>
          <w:tcPr>
            <w:tcW w:type="dxa" w:w="3360"/>
          </w:tcPr>
          <w:p>
            <w:r>
              <w:t>Yes</w:t>
            </w:r>
          </w:p>
        </w:tc>
        <w:tc>
          <w:tcPr>
            <w:tcW w:type="dxa" w:w="3360"/>
          </w:tcPr>
          <w:p>
            <w:r>
              <w:t>Provides the on-premises source directory.</w:t>
            </w:r>
          </w:p>
        </w:tc>
      </w:tr>
      <w:tr>
        <w:tc>
          <w:tcPr>
            <w:tcW w:type="dxa" w:w="3360"/>
          </w:tcPr>
          <w:p>
            <w:r>
              <w:t>Microsoft Entra ID</w:t>
            </w:r>
          </w:p>
        </w:tc>
        <w:tc>
          <w:tcPr>
            <w:tcW w:type="dxa" w:w="3360"/>
          </w:tcPr>
          <w:p>
            <w:r>
              <w:t>Yes</w:t>
            </w:r>
          </w:p>
        </w:tc>
        <w:tc>
          <w:tcPr>
            <w:tcW w:type="dxa" w:w="3360"/>
          </w:tcPr>
          <w:p>
            <w:r>
              <w:t>Provides the cloud identity platform.</w:t>
            </w:r>
          </w:p>
        </w:tc>
      </w:tr>
      <w:tr>
        <w:tc>
          <w:tcPr>
            <w:tcW w:type="dxa" w:w="3360"/>
          </w:tcPr>
          <w:p>
            <w:r>
              <w:t>Microsoft Entra Connect</w:t>
            </w:r>
          </w:p>
        </w:tc>
        <w:tc>
          <w:tcPr>
            <w:tcW w:type="dxa" w:w="3360"/>
          </w:tcPr>
          <w:p>
            <w:r>
              <w:t>Yes</w:t>
            </w:r>
          </w:p>
        </w:tc>
        <w:tc>
          <w:tcPr>
            <w:tcW w:type="dxa" w:w="3360"/>
          </w:tcPr>
          <w:p>
            <w:r>
              <w:t>Synchronizes identities between AD and Entra ID.</w:t>
            </w:r>
          </w:p>
        </w:tc>
      </w:tr>
      <w:tr>
        <w:tc>
          <w:tcPr>
            <w:tcW w:type="dxa" w:w="3360"/>
          </w:tcPr>
          <w:p>
            <w:r>
              <w:t>Password Hash Synchronisation</w:t>
            </w:r>
          </w:p>
        </w:tc>
        <w:tc>
          <w:tcPr>
            <w:tcW w:type="dxa" w:w="3360"/>
          </w:tcPr>
          <w:p>
            <w:r>
              <w:t>Yes</w:t>
            </w:r>
          </w:p>
        </w:tc>
        <w:tc>
          <w:tcPr>
            <w:tcW w:type="dxa" w:w="3360"/>
          </w:tcPr>
          <w:p>
            <w:r>
              <w:t>Provides the selected hybrid authentication method.</w:t>
            </w:r>
          </w:p>
        </w:tc>
      </w:tr>
      <w:tr>
        <w:tc>
          <w:tcPr>
            <w:tcW w:type="dxa" w:w="3360"/>
          </w:tcPr>
          <w:p>
            <w:r>
              <w:t>Azure Storage</w:t>
            </w:r>
          </w:p>
        </w:tc>
        <w:tc>
          <w:tcPr>
            <w:tcW w:type="dxa" w:w="3360"/>
          </w:tcPr>
          <w:p>
            <w:r>
              <w:t>Optional</w:t>
            </w:r>
          </w:p>
        </w:tc>
        <w:tc>
          <w:tcPr>
            <w:tcW w:type="dxa" w:w="3360"/>
          </w:tcPr>
          <w:p>
            <w:r>
              <w:t>Can store project artifacts or logs if required.</w:t>
            </w:r>
          </w:p>
        </w:tc>
      </w:tr>
      <w:tr>
        <w:tc>
          <w:tcPr>
            <w:tcW w:type="dxa" w:w="3360"/>
          </w:tcPr>
          <w:p>
            <w:r>
              <w:t>Azure Monitor</w:t>
            </w:r>
          </w:p>
        </w:tc>
        <w:tc>
          <w:tcPr>
            <w:tcW w:type="dxa" w:w="3360"/>
          </w:tcPr>
          <w:p>
            <w:r>
              <w:t>Optional</w:t>
            </w:r>
          </w:p>
        </w:tc>
        <w:tc>
          <w:tcPr>
            <w:tcW w:type="dxa" w:w="3360"/>
          </w:tcPr>
          <w:p>
            <w:r>
              <w:t>Can assist with Azure resource monitoring and troubleshooting.</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