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b/>
          <w:sz w:val="30"/>
          <w:szCs w:val="30"/>
        </w:rPr>
      </w:pPr>
      <w:r>
        <w:rPr>
          <w:b/>
          <w:sz w:val="30"/>
          <w:szCs w:val="30"/>
        </w:rPr>
        <w:t>Fiche desc. Source 4 : Stanford University – AI Index Report (HAI)</w:t>
      </w:r>
    </w:p>
    <w:p>
      <w:pPr>
        <w:pStyle w:val="normal1"/>
        <w:rPr/>
      </w:pPr>
      <w:r>
        <w:rPr/>
      </w:r>
    </w:p>
    <w:p>
      <w:pPr>
        <w:pStyle w:val="normal1"/>
        <w:rPr>
          <w:b/>
          <w:sz w:val="24"/>
          <w:szCs w:val="24"/>
        </w:rPr>
      </w:pPr>
      <w:r>
        <w:rPr>
          <w:b/>
          <w:sz w:val="24"/>
          <w:szCs w:val="24"/>
        </w:rPr>
        <w:t xml:space="preserve">Structure : </w:t>
      </w:r>
    </w:p>
    <w:p>
      <w:pPr>
        <w:pStyle w:val="normal1"/>
        <w:rPr>
          <w:sz w:val="24"/>
          <w:szCs w:val="24"/>
        </w:rPr>
      </w:pPr>
      <w:r>
        <w:rPr>
          <w:sz w:val="24"/>
          <w:szCs w:val="24"/>
        </w:rPr>
        <w:t>Données non structurées au format PDF avec des CSV déjà préparés à extraire</w:t>
      </w:r>
    </w:p>
    <w:p>
      <w:pPr>
        <w:pStyle w:val="normal1"/>
        <w:rPr>
          <w:sz w:val="24"/>
          <w:szCs w:val="24"/>
        </w:rPr>
      </w:pPr>
      <w:r>
        <w:rPr>
          <w:sz w:val="24"/>
          <w:szCs w:val="24"/>
        </w:rPr>
      </w:r>
    </w:p>
    <w:p>
      <w:pPr>
        <w:pStyle w:val="normal1"/>
        <w:rPr>
          <w:sz w:val="24"/>
          <w:szCs w:val="24"/>
        </w:rPr>
      </w:pPr>
      <w:r>
        <w:rPr>
          <w:b/>
          <w:sz w:val="24"/>
          <w:szCs w:val="24"/>
        </w:rPr>
        <w:t xml:space="preserve">Langue : </w:t>
      </w:r>
      <w:r>
        <w:rPr>
          <w:sz w:val="24"/>
          <w:szCs w:val="24"/>
        </w:rPr>
        <w:t>Anglais</w:t>
      </w:r>
    </w:p>
    <w:p>
      <w:pPr>
        <w:pStyle w:val="normal1"/>
        <w:rPr>
          <w:sz w:val="24"/>
          <w:szCs w:val="24"/>
        </w:rPr>
      </w:pPr>
      <w:r>
        <w:rPr>
          <w:sz w:val="24"/>
          <w:szCs w:val="24"/>
        </w:rPr>
      </w:r>
    </w:p>
    <w:p>
      <w:pPr>
        <w:pStyle w:val="normal1"/>
        <w:rPr>
          <w:sz w:val="24"/>
          <w:szCs w:val="24"/>
        </w:rPr>
      </w:pPr>
      <w:r>
        <w:rPr>
          <w:b/>
          <w:sz w:val="24"/>
          <w:szCs w:val="24"/>
        </w:rPr>
        <w:t>Source : https://hai.stanford.edu/ai-index/2025-ai-index-report</w:t>
      </w:r>
    </w:p>
    <w:p>
      <w:pPr>
        <w:pStyle w:val="normal1"/>
        <w:rPr>
          <w:sz w:val="24"/>
          <w:szCs w:val="24"/>
        </w:rPr>
      </w:pPr>
      <w:r>
        <w:rPr>
          <w:sz w:val="24"/>
          <w:szCs w:val="24"/>
        </w:rPr>
      </w:r>
    </w:p>
    <w:p>
      <w:pPr>
        <w:pStyle w:val="normal1"/>
        <w:rPr>
          <w:b/>
          <w:sz w:val="24"/>
          <w:szCs w:val="24"/>
        </w:rPr>
      </w:pPr>
      <w:r>
        <w:rPr>
          <w:b/>
          <w:sz w:val="24"/>
          <w:szCs w:val="24"/>
        </w:rPr>
        <w:t xml:space="preserve">Volume approximatif : </w:t>
      </w:r>
    </w:p>
    <w:p>
      <w:pPr>
        <w:pStyle w:val="normal1"/>
        <w:rPr>
          <w:b/>
          <w:sz w:val="24"/>
          <w:szCs w:val="24"/>
        </w:rPr>
      </w:pPr>
      <w:r>
        <w:rPr>
          <w:b/>
          <w:sz w:val="24"/>
          <w:szCs w:val="24"/>
        </w:rPr>
      </w:r>
    </w:p>
    <w:p>
      <w:pPr>
        <w:pStyle w:val="normal1"/>
        <w:rPr>
          <w:sz w:val="24"/>
          <w:szCs w:val="24"/>
        </w:rPr>
      </w:pPr>
      <w:r>
        <w:rPr>
          <w:b/>
          <w:sz w:val="24"/>
          <w:szCs w:val="24"/>
        </w:rPr>
        <w:t xml:space="preserve">Format : </w:t>
      </w:r>
      <w:r>
        <w:rPr>
          <w:sz w:val="24"/>
          <w:szCs w:val="24"/>
        </w:rPr>
        <w:t>PDF &amp; CSV</w:t>
      </w:r>
    </w:p>
    <w:p>
      <w:pPr>
        <w:pStyle w:val="normal1"/>
        <w:rPr>
          <w:sz w:val="24"/>
          <w:szCs w:val="24"/>
        </w:rPr>
      </w:pPr>
      <w:r>
        <w:rPr>
          <w:sz w:val="24"/>
          <w:szCs w:val="24"/>
        </w:rPr>
      </w:r>
    </w:p>
    <w:p>
      <w:pPr>
        <w:pStyle w:val="normal1"/>
        <w:rPr>
          <w:b/>
          <w:sz w:val="24"/>
          <w:szCs w:val="24"/>
        </w:rPr>
      </w:pPr>
      <w:r>
        <w:rPr>
          <w:b/>
          <w:sz w:val="24"/>
          <w:szCs w:val="24"/>
        </w:rPr>
        <w:t xml:space="preserve">Description </w:t>
      </w:r>
    </w:p>
    <w:p>
      <w:pPr>
        <w:pStyle w:val="normal1"/>
        <w:rPr>
          <w:sz w:val="24"/>
          <w:szCs w:val="24"/>
        </w:rPr>
      </w:pPr>
      <w:r>
        <w:rPr>
          <w:sz w:val="24"/>
          <w:szCs w:val="24"/>
        </w:rPr>
        <w:t xml:space="preserve">Le rapport </w:t>
      </w:r>
      <w:r>
        <w:rPr>
          <w:i/>
          <w:sz w:val="24"/>
          <w:szCs w:val="24"/>
        </w:rPr>
        <w:t>AI Index 2025</w:t>
      </w:r>
      <w:r>
        <w:rPr>
          <w:sz w:val="24"/>
          <w:szCs w:val="24"/>
        </w:rPr>
        <w:t xml:space="preserve"> constitue une source riche en données sur l’intelligence artificielle à l’échelle mondiale. Il propose à la fois des éléments qualitatifs, comme des exemples d’initiatives politiques par pays, et des données quantitatives disponibles sous forme de fichiers CSV. Les initiatives politiques listées, bien que pertinentes, sont peu nombreuses et difficiles à standardiser ou à croiser efficacement avec les variables des autres bases utilisées (notamment les données OCDE). </w:t>
      </w:r>
    </w:p>
    <w:p>
      <w:pPr>
        <w:pStyle w:val="normal1"/>
        <w:rPr>
          <w:sz w:val="24"/>
          <w:szCs w:val="24"/>
        </w:rPr>
      </w:pPr>
      <w:r>
        <w:rPr>
          <w:sz w:val="24"/>
          <w:szCs w:val="24"/>
        </w:rPr>
        <w:t>En revanche, les données quantitatives extraites des figures du rapport sont bien structurées et facilement exploitables. Elles couvrent des indicateurs comme le nombre de lois liées à l’IA adoptées par pays entre 2016 et 2024, ce qui en fait un complément pertinent aux analyses comparatives avec les instruments politiques de l’OCDE. Par conséquent, seules ces variables quantitatives ont été retenues pour le tableau de bord interactif.</w:t>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sz w:val="24"/>
          <w:szCs w:val="24"/>
        </w:rPr>
      </w:pPr>
      <w:r>
        <w:rPr>
          <w:sz w:val="24"/>
          <w:szCs w:val="24"/>
        </w:rPr>
      </w:r>
    </w:p>
    <w:p>
      <w:pPr>
        <w:pStyle w:val="normal1"/>
        <w:rPr>
          <w:b/>
          <w:sz w:val="30"/>
          <w:szCs w:val="30"/>
        </w:rPr>
      </w:pPr>
      <w:r>
        <w:rPr>
          <w:b/>
          <w:sz w:val="30"/>
          <w:szCs w:val="30"/>
        </w:rPr>
        <w:t>Données quantitatives disponibles (variables)</w:t>
      </w:r>
    </w:p>
    <w:p>
      <w:pPr>
        <w:pStyle w:val="normal1"/>
        <w:rPr>
          <w:b/>
          <w:sz w:val="30"/>
          <w:szCs w:val="30"/>
        </w:rPr>
      </w:pPr>
      <w:r>
        <w:rPr>
          <w:b/>
          <w:sz w:val="30"/>
          <w:szCs w:val="30"/>
        </w:rPr>
      </w:r>
    </w:p>
    <w:p>
      <w:pPr>
        <w:pStyle w:val="normal1"/>
        <w:rPr/>
      </w:pPr>
      <w:r>
        <w:rPr/>
        <w:t>Cette liste est une liste non exhaustive des différentes données quantitatives présentes dans cette source (les 3 premières).</w:t>
      </w:r>
    </w:p>
    <w:p>
      <w:pPr>
        <w:pStyle w:val="normal1"/>
        <w:rPr/>
      </w:pPr>
      <w:r>
        <w:rPr/>
      </w:r>
    </w:p>
    <w:p>
      <w:pPr>
        <w:pStyle w:val="normal1"/>
        <w:rPr/>
      </w:pPr>
      <w:r>
        <w:rPr/>
        <w:t>Total de données quantitatives intéressantes dans la source : 30</w:t>
      </w:r>
    </w:p>
    <w:p>
      <w:pPr>
        <w:pStyle w:val="normal1"/>
        <w:rPr/>
      </w:pPr>
      <w:r>
        <w:rPr/>
      </w:r>
    </w:p>
    <w:p>
      <w:pPr>
        <w:pStyle w:val="normal1"/>
        <w:rPr/>
      </w:pPr>
      <w:r>
        <w:rPr/>
        <w:t>Nous verrons par la suite celle que l’on garde pour nos analyses et donc notre tableau de bord interactif.</w:t>
      </w:r>
    </w:p>
    <w:p>
      <w:pPr>
        <w:pStyle w:val="normal1"/>
        <w:rPr>
          <w:sz w:val="30"/>
          <w:szCs w:val="30"/>
        </w:rPr>
      </w:pPr>
      <w:r>
        <w:rPr>
          <w:sz w:val="30"/>
          <w:szCs w:val="30"/>
        </w:rPr>
      </w:r>
    </w:p>
    <w:p>
      <w:pPr>
        <w:pStyle w:val="normal1"/>
        <w:rPr>
          <w:sz w:val="30"/>
          <w:szCs w:val="30"/>
        </w:rPr>
      </w:pPr>
      <w:r>
        <w:rPr>
          <w:sz w:val="30"/>
          <w:szCs w:val="30"/>
        </w:rPr>
      </w:r>
    </w:p>
    <w:p>
      <w:pPr>
        <w:pStyle w:val="normal1"/>
        <w:rPr>
          <w:sz w:val="30"/>
          <w:szCs w:val="30"/>
        </w:rPr>
      </w:pPr>
      <w:r>
        <w:rPr>
          <w:sz w:val="30"/>
          <w:szCs w:val="30"/>
        </w:rPr>
      </w:r>
    </w:p>
    <w:p>
      <w:pPr>
        <w:pStyle w:val="normal1"/>
        <w:rPr>
          <w:sz w:val="30"/>
          <w:szCs w:val="30"/>
        </w:rPr>
      </w:pPr>
      <w:r>
        <w:rPr>
          <w:sz w:val="30"/>
          <w:szCs w:val="30"/>
        </w:rPr>
      </w:r>
    </w:p>
    <w:p>
      <w:pPr>
        <w:pStyle w:val="normal1"/>
        <w:rPr>
          <w:sz w:val="30"/>
          <w:szCs w:val="30"/>
        </w:rPr>
      </w:pPr>
      <w:r>
        <w:rPr>
          <w:sz w:val="30"/>
          <w:szCs w:val="30"/>
        </w:rPr>
      </w:r>
    </w:p>
    <w:p>
      <w:pPr>
        <w:pStyle w:val="normal1"/>
        <w:rPr>
          <w:sz w:val="30"/>
          <w:szCs w:val="30"/>
        </w:rPr>
      </w:pPr>
      <w:r>
        <w:rPr>
          <w:sz w:val="30"/>
          <w:szCs w:val="30"/>
        </w:rPr>
      </w:r>
    </w:p>
    <w:p>
      <w:pPr>
        <w:pStyle w:val="normal1"/>
        <w:rPr>
          <w:sz w:val="26"/>
          <w:szCs w:val="26"/>
        </w:rPr>
      </w:pPr>
      <w:r>
        <w:rPr>
          <w:sz w:val="26"/>
          <w:szCs w:val="26"/>
        </w:rPr>
      </w:r>
    </w:p>
    <w:tbl>
      <w:tblPr>
        <w:tblStyle w:val="Table1"/>
        <w:tblW w:w="7245" w:type="dxa"/>
        <w:jc w:val="left"/>
        <w:tblInd w:w="0" w:type="dxa"/>
        <w:tblLayout w:type="fixed"/>
        <w:tblCellMar>
          <w:top w:w="40" w:type="dxa"/>
          <w:left w:w="40" w:type="dxa"/>
          <w:bottom w:w="40" w:type="dxa"/>
          <w:right w:w="40" w:type="dxa"/>
        </w:tblCellMar>
        <w:tblLook w:val="0600"/>
      </w:tblPr>
      <w:tblGrid>
        <w:gridCol w:w="2054"/>
        <w:gridCol w:w="5190"/>
      </w:tblGrid>
      <w:tr>
        <w:trPr>
          <w:tblHeader w:val="true"/>
          <w:trHeight w:val="525" w:hRule="atLeast"/>
        </w:trPr>
        <w:tc>
          <w:tcPr>
            <w:tcW w:w="7244" w:type="dxa"/>
            <w:gridSpan w:val="2"/>
            <w:tcBorders>
              <w:top w:val="single" w:sz="2" w:space="0" w:color="CCCCCC"/>
              <w:left w:val="single" w:sz="2" w:space="0" w:color="CCCCCC"/>
              <w:bottom w:val="single" w:sz="2" w:space="0" w:color="CCCCCC"/>
              <w:right w:val="single" w:sz="2" w:space="0" w:color="CCCCCC"/>
            </w:tcBorders>
            <w:shd w:fill="F1F3F4" w:val="clear"/>
            <w:vAlign w:val="bottom"/>
          </w:tcPr>
          <w:p>
            <w:pPr>
              <w:pStyle w:val="normal1"/>
              <w:rPr/>
            </w:pPr>
            <w:r>
              <w:rPr>
                <w:sz w:val="24"/>
                <w:szCs w:val="24"/>
              </w:rPr>
              <w:t>Nombre de projets de loi relatifs à l'IA adoptés par pays, 2016-2024</w:t>
            </w:r>
          </w:p>
        </w:tc>
      </w:tr>
      <w:tr>
        <w:trPr>
          <w:trHeight w:val="525" w:hRule="atLeast"/>
        </w:trPr>
        <w:tc>
          <w:tcPr>
            <w:tcW w:w="2054" w:type="dxa"/>
            <w:tcBorders>
              <w:top w:val="single" w:sz="2" w:space="0" w:color="CCCCCC"/>
              <w:left w:val="single" w:sz="2" w:space="0" w:color="CCCCCC"/>
              <w:bottom w:val="single" w:sz="2" w:space="0" w:color="CCCCCC"/>
              <w:right w:val="single" w:sz="2" w:space="0" w:color="CCCCCC"/>
            </w:tcBorders>
            <w:vAlign w:val="bottom"/>
          </w:tcPr>
          <w:p>
            <w:pPr>
              <w:pStyle w:val="normal1"/>
              <w:widowControl w:val="false"/>
              <w:rPr>
                <w:b/>
                <w:sz w:val="20"/>
                <w:szCs w:val="20"/>
              </w:rPr>
            </w:pPr>
            <w:r>
              <w:rPr>
                <w:b/>
                <w:sz w:val="20"/>
                <w:szCs w:val="20"/>
              </w:rPr>
              <w:t>Nom de la Variable</w:t>
            </w:r>
          </w:p>
        </w:tc>
        <w:tc>
          <w:tcPr>
            <w:tcW w:w="5190" w:type="dxa"/>
            <w:tcBorders>
              <w:top w:val="single" w:sz="2" w:space="0" w:color="CCCCCC"/>
              <w:left w:val="single" w:sz="2" w:space="0" w:color="CCCCCC"/>
              <w:bottom w:val="single" w:sz="2" w:space="0" w:color="CCCCCC"/>
              <w:right w:val="single" w:sz="2" w:space="0" w:color="CCCCCC"/>
            </w:tcBorders>
            <w:vAlign w:val="bottom"/>
          </w:tcPr>
          <w:p>
            <w:pPr>
              <w:pStyle w:val="normal1"/>
              <w:widowControl w:val="false"/>
              <w:rPr>
                <w:b/>
                <w:sz w:val="20"/>
                <w:szCs w:val="20"/>
              </w:rPr>
            </w:pPr>
            <w:r>
              <w:rPr>
                <w:b/>
                <w:sz w:val="20"/>
                <w:szCs w:val="20"/>
              </w:rPr>
              <w:t>Potentiel</w:t>
            </w:r>
          </w:p>
        </w:tc>
      </w:tr>
      <w:tr>
        <w:trPr>
          <w:trHeight w:val="1005" w:hRule="atLeast"/>
        </w:trPr>
        <w:tc>
          <w:tcPr>
            <w:tcW w:w="2054" w:type="dxa"/>
            <w:tcBorders>
              <w:top w:val="single" w:sz="2" w:space="0" w:color="CCCCCC"/>
              <w:left w:val="single" w:sz="2" w:space="0" w:color="CCCCCC"/>
              <w:bottom w:val="single" w:sz="2" w:space="0" w:color="CCCCCC"/>
              <w:right w:val="single" w:sz="2" w:space="0" w:color="CCCCCC"/>
            </w:tcBorders>
            <w:vAlign w:val="bottom"/>
          </w:tcPr>
          <w:p>
            <w:pPr>
              <w:pStyle w:val="normal1"/>
              <w:widowControl w:val="false"/>
              <w:rPr>
                <w:sz w:val="20"/>
                <w:szCs w:val="20"/>
              </w:rPr>
            </w:pPr>
            <w:r>
              <w:rPr>
                <w:sz w:val="20"/>
                <w:szCs w:val="20"/>
              </w:rPr>
              <w:t>Geographic area</w:t>
            </w:r>
          </w:p>
        </w:tc>
        <w:tc>
          <w:tcPr>
            <w:tcW w:w="5190" w:type="dxa"/>
            <w:tcBorders>
              <w:top w:val="single" w:sz="2" w:space="0" w:color="CCCCCC"/>
              <w:left w:val="single" w:sz="2" w:space="0" w:color="CCCCCC"/>
              <w:bottom w:val="single" w:sz="2" w:space="0" w:color="CCCCCC"/>
              <w:right w:val="single" w:sz="2" w:space="0" w:color="CCCCCC"/>
            </w:tcBorders>
            <w:vAlign w:val="bottom"/>
          </w:tcPr>
          <w:p>
            <w:pPr>
              <w:pStyle w:val="normal1"/>
              <w:widowControl w:val="false"/>
              <w:rPr>
                <w:sz w:val="20"/>
                <w:szCs w:val="20"/>
              </w:rPr>
            </w:pPr>
            <w:r>
              <w:rPr>
                <w:sz w:val="20"/>
                <w:szCs w:val="20"/>
              </w:rPr>
              <w:t>Permet d’identifier les pays ou régions ayant adopté des lois liées à l’IA, et d’analyser les disparités géographiques. Possibilité de cartographie ou de regroupement par continents/blocs régionaux.</w:t>
            </w:r>
          </w:p>
        </w:tc>
      </w:tr>
      <w:tr>
        <w:trPr>
          <w:trHeight w:val="1556" w:hRule="atLeast"/>
        </w:trPr>
        <w:tc>
          <w:tcPr>
            <w:tcW w:w="2054" w:type="dxa"/>
            <w:tcBorders>
              <w:top w:val="single" w:sz="2" w:space="0" w:color="CCCCCC"/>
              <w:left w:val="single" w:sz="2" w:space="0" w:color="CCCCCC"/>
              <w:bottom w:val="single" w:sz="2" w:space="0" w:color="CCCCCC"/>
              <w:right w:val="single" w:sz="2" w:space="0" w:color="CCCCCC"/>
            </w:tcBorders>
            <w:vAlign w:val="bottom"/>
          </w:tcPr>
          <w:p>
            <w:pPr>
              <w:pStyle w:val="normal1"/>
              <w:widowControl w:val="false"/>
              <w:rPr>
                <w:sz w:val="20"/>
                <w:szCs w:val="20"/>
              </w:rPr>
            </w:pPr>
            <w:r>
              <w:rPr>
                <w:sz w:val="20"/>
                <w:szCs w:val="20"/>
              </w:rPr>
              <w:t>Number of AI-related bills passed into law, 2016-24</w:t>
            </w:r>
          </w:p>
        </w:tc>
        <w:tc>
          <w:tcPr>
            <w:tcW w:w="5190" w:type="dxa"/>
            <w:tcBorders>
              <w:top w:val="single" w:sz="2" w:space="0" w:color="CCCCCC"/>
              <w:left w:val="single" w:sz="2" w:space="0" w:color="CCCCCC"/>
              <w:bottom w:val="single" w:sz="2" w:space="0" w:color="CCCCCC"/>
              <w:right w:val="single" w:sz="2" w:space="0" w:color="CCCCCC"/>
            </w:tcBorders>
            <w:vAlign w:val="bottom"/>
          </w:tcPr>
          <w:p>
            <w:pPr>
              <w:pStyle w:val="normal1"/>
              <w:widowControl w:val="false"/>
              <w:rPr>
                <w:b/>
                <w:sz w:val="20"/>
                <w:szCs w:val="20"/>
              </w:rPr>
            </w:pPr>
            <w:r>
              <w:rPr>
                <w:sz w:val="20"/>
                <w:szCs w:val="20"/>
              </w:rPr>
              <w:t>Variable centrale permettant de mesurer l’implication législative des pays sur l’IA sur 9 ans. Permet des comparaisons temporelles et entre pays, ainsi que le repérage des tendances législatives globales.</w:t>
            </w:r>
          </w:p>
        </w:tc>
      </w:tr>
    </w:tbl>
    <w:p>
      <w:pPr>
        <w:pStyle w:val="normal1"/>
        <w:rPr>
          <w:sz w:val="24"/>
          <w:szCs w:val="24"/>
        </w:rPr>
      </w:pPr>
      <w:r>
        <w:rPr>
          <w:sz w:val="24"/>
          <w:szCs w:val="24"/>
        </w:rPr>
      </w:r>
    </w:p>
    <w:p>
      <w:pPr>
        <w:pStyle w:val="normal1"/>
        <w:rPr>
          <w:sz w:val="26"/>
          <w:szCs w:val="26"/>
        </w:rPr>
      </w:pPr>
      <w:r>
        <w:rPr>
          <w:sz w:val="26"/>
          <w:szCs w:val="26"/>
        </w:rPr>
      </w:r>
    </w:p>
    <w:tbl>
      <w:tblPr>
        <w:tblStyle w:val="Table2"/>
        <w:tblW w:w="7245" w:type="dxa"/>
        <w:jc w:val="left"/>
        <w:tblInd w:w="0" w:type="dxa"/>
        <w:tblLayout w:type="fixed"/>
        <w:tblCellMar>
          <w:top w:w="40" w:type="dxa"/>
          <w:left w:w="40" w:type="dxa"/>
          <w:bottom w:w="40" w:type="dxa"/>
          <w:right w:w="40" w:type="dxa"/>
        </w:tblCellMar>
        <w:tblLook w:val="0600"/>
      </w:tblPr>
      <w:tblGrid>
        <w:gridCol w:w="2054"/>
        <w:gridCol w:w="5190"/>
      </w:tblGrid>
      <w:tr>
        <w:trPr>
          <w:tblHeader w:val="true"/>
          <w:trHeight w:val="525" w:hRule="atLeast"/>
        </w:trPr>
        <w:tc>
          <w:tcPr>
            <w:tcW w:w="7244" w:type="dxa"/>
            <w:gridSpan w:val="2"/>
            <w:tcBorders>
              <w:top w:val="single" w:sz="2" w:space="0" w:color="CCCCCC"/>
              <w:left w:val="single" w:sz="2" w:space="0" w:color="CCCCCC"/>
              <w:bottom w:val="single" w:sz="2" w:space="0" w:color="CCCCCC"/>
              <w:right w:val="single" w:sz="2" w:space="0" w:color="CCCCCC"/>
            </w:tcBorders>
            <w:shd w:fill="F1F3F4" w:val="clear"/>
            <w:vAlign w:val="bottom"/>
          </w:tcPr>
          <w:p>
            <w:pPr>
              <w:pStyle w:val="normal1"/>
              <w:rPr>
                <w:sz w:val="24"/>
                <w:szCs w:val="24"/>
              </w:rPr>
            </w:pPr>
            <w:r>
              <w:rPr>
                <w:sz w:val="24"/>
                <w:szCs w:val="24"/>
              </w:rPr>
              <w:t>Nombre de projets de loi relatifs à l'IA adoptés dans 116 zones géographiques sélectionnées, 2016-2024</w:t>
            </w:r>
          </w:p>
        </w:tc>
      </w:tr>
      <w:tr>
        <w:trPr>
          <w:trHeight w:val="525" w:hRule="atLeast"/>
        </w:trPr>
        <w:tc>
          <w:tcPr>
            <w:tcW w:w="2054" w:type="dxa"/>
            <w:tcBorders>
              <w:top w:val="single" w:sz="2" w:space="0" w:color="CCCCCC"/>
              <w:left w:val="single" w:sz="2" w:space="0" w:color="CCCCCC"/>
              <w:bottom w:val="single" w:sz="2" w:space="0" w:color="CCCCCC"/>
              <w:right w:val="single" w:sz="2" w:space="0" w:color="CCCCCC"/>
            </w:tcBorders>
            <w:vAlign w:val="bottom"/>
          </w:tcPr>
          <w:p>
            <w:pPr>
              <w:pStyle w:val="normal1"/>
              <w:widowControl w:val="false"/>
              <w:rPr>
                <w:b/>
                <w:sz w:val="20"/>
                <w:szCs w:val="20"/>
              </w:rPr>
            </w:pPr>
            <w:r>
              <w:rPr>
                <w:b/>
                <w:sz w:val="20"/>
                <w:szCs w:val="20"/>
              </w:rPr>
              <w:t>Nom de la Variable</w:t>
            </w:r>
          </w:p>
        </w:tc>
        <w:tc>
          <w:tcPr>
            <w:tcW w:w="5190" w:type="dxa"/>
            <w:tcBorders>
              <w:top w:val="single" w:sz="2" w:space="0" w:color="CCCCCC"/>
              <w:left w:val="single" w:sz="2" w:space="0" w:color="CCCCCC"/>
              <w:bottom w:val="single" w:sz="2" w:space="0" w:color="CCCCCC"/>
              <w:right w:val="single" w:sz="2" w:space="0" w:color="CCCCCC"/>
            </w:tcBorders>
            <w:vAlign w:val="bottom"/>
          </w:tcPr>
          <w:p>
            <w:pPr>
              <w:pStyle w:val="normal1"/>
              <w:widowControl w:val="false"/>
              <w:rPr>
                <w:b/>
                <w:sz w:val="20"/>
                <w:szCs w:val="20"/>
              </w:rPr>
            </w:pPr>
            <w:r>
              <w:rPr>
                <w:b/>
                <w:sz w:val="20"/>
                <w:szCs w:val="20"/>
              </w:rPr>
              <w:t>Potentiel</w:t>
            </w:r>
          </w:p>
        </w:tc>
      </w:tr>
      <w:tr>
        <w:trPr>
          <w:trHeight w:val="1005" w:hRule="atLeast"/>
        </w:trPr>
        <w:tc>
          <w:tcPr>
            <w:tcW w:w="2054" w:type="dxa"/>
            <w:tcBorders>
              <w:top w:val="single" w:sz="2" w:space="0" w:color="CCCCCC"/>
              <w:left w:val="single" w:sz="2" w:space="0" w:color="CCCCCC"/>
              <w:bottom w:val="single" w:sz="2" w:space="0" w:color="CCCCCC"/>
              <w:right w:val="single" w:sz="2" w:space="0" w:color="CCCCCC"/>
            </w:tcBorders>
            <w:vAlign w:val="bottom"/>
          </w:tcPr>
          <w:p>
            <w:pPr>
              <w:pStyle w:val="normal1"/>
              <w:widowControl w:val="false"/>
              <w:rPr>
                <w:sz w:val="20"/>
                <w:szCs w:val="20"/>
              </w:rPr>
            </w:pPr>
            <w:r>
              <w:rPr>
                <w:sz w:val="20"/>
                <w:szCs w:val="20"/>
              </w:rPr>
              <w:t>Year</w:t>
            </w:r>
          </w:p>
        </w:tc>
        <w:tc>
          <w:tcPr>
            <w:tcW w:w="5190" w:type="dxa"/>
            <w:tcBorders>
              <w:top w:val="single" w:sz="2" w:space="0" w:color="CCCCCC"/>
              <w:left w:val="single" w:sz="2" w:space="0" w:color="CCCCCC"/>
              <w:bottom w:val="single" w:sz="2" w:space="0" w:color="CCCCCC"/>
              <w:right w:val="single" w:sz="2" w:space="0" w:color="CCCCCC"/>
            </w:tcBorders>
            <w:vAlign w:val="bottom"/>
          </w:tcPr>
          <w:p>
            <w:pPr>
              <w:pStyle w:val="normal1"/>
              <w:widowControl w:val="false"/>
              <w:rPr>
                <w:sz w:val="20"/>
                <w:szCs w:val="20"/>
              </w:rPr>
            </w:pPr>
            <w:r>
              <w:rPr>
                <w:sz w:val="20"/>
                <w:szCs w:val="20"/>
              </w:rPr>
              <w:t>Permet d’analyser l’évolution temporelle du nombre de lois sur l’IA adoptées dans le monde. Utile pour repérer les pics d’activité législative ou les tendances globales (hausse, stagnation, etc.).</w:t>
            </w:r>
          </w:p>
        </w:tc>
      </w:tr>
      <w:tr>
        <w:trPr>
          <w:trHeight w:val="1005" w:hRule="atLeast"/>
        </w:trPr>
        <w:tc>
          <w:tcPr>
            <w:tcW w:w="2054" w:type="dxa"/>
            <w:tcBorders>
              <w:top w:val="single" w:sz="2" w:space="0" w:color="CCCCCC"/>
              <w:left w:val="single" w:sz="2" w:space="0" w:color="CCCCCC"/>
              <w:bottom w:val="single" w:sz="2" w:space="0" w:color="CCCCCC"/>
              <w:right w:val="single" w:sz="2" w:space="0" w:color="CCCCCC"/>
            </w:tcBorders>
            <w:vAlign w:val="bottom"/>
          </w:tcPr>
          <w:p>
            <w:pPr>
              <w:pStyle w:val="normal1"/>
              <w:widowControl w:val="false"/>
              <w:rPr>
                <w:sz w:val="20"/>
                <w:szCs w:val="20"/>
              </w:rPr>
            </w:pPr>
            <w:r>
              <w:rPr>
                <w:sz w:val="20"/>
                <w:szCs w:val="20"/>
              </w:rPr>
              <w:t>Number of AI-related bills passed into law</w:t>
            </w:r>
          </w:p>
        </w:tc>
        <w:tc>
          <w:tcPr>
            <w:tcW w:w="5190" w:type="dxa"/>
            <w:tcBorders>
              <w:top w:val="single" w:sz="2" w:space="0" w:color="CCCCCC"/>
              <w:left w:val="single" w:sz="2" w:space="0" w:color="CCCCCC"/>
              <w:bottom w:val="single" w:sz="2" w:space="0" w:color="CCCCCC"/>
              <w:right w:val="single" w:sz="2" w:space="0" w:color="CCCCCC"/>
            </w:tcBorders>
            <w:vAlign w:val="bottom"/>
          </w:tcPr>
          <w:p>
            <w:pPr>
              <w:pStyle w:val="normal1"/>
              <w:widowControl w:val="false"/>
              <w:rPr>
                <w:b/>
                <w:sz w:val="20"/>
                <w:szCs w:val="20"/>
              </w:rPr>
            </w:pPr>
            <w:r>
              <w:rPr>
                <w:sz w:val="20"/>
                <w:szCs w:val="20"/>
              </w:rPr>
              <w:t>Données quantitatives permettant de mesurer l’intensité législative globale dans les 116 zones géographiques. Sert à établir des tendances mondiales ou régionales par année.</w:t>
            </w:r>
          </w:p>
        </w:tc>
      </w:tr>
    </w:tbl>
    <w:p>
      <w:pPr>
        <w:pStyle w:val="normal1"/>
        <w:rPr>
          <w:sz w:val="24"/>
          <w:szCs w:val="24"/>
        </w:rPr>
      </w:pPr>
      <w:r>
        <w:rPr>
          <w:sz w:val="24"/>
          <w:szCs w:val="24"/>
        </w:rPr>
      </w:r>
    </w:p>
    <w:p>
      <w:pPr>
        <w:pStyle w:val="normal1"/>
        <w:rPr>
          <w:sz w:val="26"/>
          <w:szCs w:val="26"/>
        </w:rPr>
      </w:pPr>
      <w:r>
        <w:rPr>
          <w:sz w:val="26"/>
          <w:szCs w:val="26"/>
        </w:rPr>
      </w:r>
    </w:p>
    <w:tbl>
      <w:tblPr>
        <w:tblStyle w:val="Table3"/>
        <w:tblW w:w="7245" w:type="dxa"/>
        <w:jc w:val="left"/>
        <w:tblInd w:w="0" w:type="dxa"/>
        <w:tblLayout w:type="fixed"/>
        <w:tblCellMar>
          <w:top w:w="40" w:type="dxa"/>
          <w:left w:w="40" w:type="dxa"/>
          <w:bottom w:w="40" w:type="dxa"/>
          <w:right w:w="40" w:type="dxa"/>
        </w:tblCellMar>
        <w:tblLook w:val="0600"/>
      </w:tblPr>
      <w:tblGrid>
        <w:gridCol w:w="2054"/>
        <w:gridCol w:w="5190"/>
      </w:tblGrid>
      <w:tr>
        <w:trPr>
          <w:tblHeader w:val="true"/>
          <w:trHeight w:val="525" w:hRule="atLeast"/>
        </w:trPr>
        <w:tc>
          <w:tcPr>
            <w:tcW w:w="7244" w:type="dxa"/>
            <w:gridSpan w:val="2"/>
            <w:tcBorders>
              <w:top w:val="single" w:sz="2" w:space="0" w:color="CCCCCC"/>
              <w:left w:val="single" w:sz="2" w:space="0" w:color="CCCCCC"/>
              <w:bottom w:val="single" w:sz="2" w:space="0" w:color="CCCCCC"/>
              <w:right w:val="single" w:sz="2" w:space="0" w:color="CCCCCC"/>
            </w:tcBorders>
            <w:shd w:fill="F1F3F4" w:val="clear"/>
            <w:vAlign w:val="bottom"/>
          </w:tcPr>
          <w:p>
            <w:pPr>
              <w:pStyle w:val="Heading2"/>
              <w:widowControl w:val="false"/>
              <w:spacing w:lineRule="auto" w:line="240" w:before="120" w:after="120"/>
              <w:rPr>
                <w:sz w:val="22"/>
                <w:szCs w:val="22"/>
              </w:rPr>
            </w:pPr>
            <w:bookmarkStart w:id="0" w:name="_dp8npxkrc27x"/>
            <w:bookmarkEnd w:id="0"/>
            <w:r>
              <w:rPr>
                <w:sz w:val="22"/>
                <w:szCs w:val="22"/>
              </w:rPr>
              <w:t>Nombre de projets de loi proposés au Congrès et de lois adoptées en lien avec l'IA aux États-Unis, 2016-2024, page 341</w:t>
            </w:r>
          </w:p>
        </w:tc>
      </w:tr>
      <w:tr>
        <w:trPr>
          <w:trHeight w:val="525" w:hRule="atLeast"/>
        </w:trPr>
        <w:tc>
          <w:tcPr>
            <w:tcW w:w="2054" w:type="dxa"/>
            <w:tcBorders>
              <w:top w:val="single" w:sz="2" w:space="0" w:color="CCCCCC"/>
              <w:left w:val="single" w:sz="2" w:space="0" w:color="CCCCCC"/>
              <w:bottom w:val="single" w:sz="2" w:space="0" w:color="CCCCCC"/>
              <w:right w:val="single" w:sz="2" w:space="0" w:color="CCCCCC"/>
            </w:tcBorders>
            <w:vAlign w:val="bottom"/>
          </w:tcPr>
          <w:p>
            <w:pPr>
              <w:pStyle w:val="normal1"/>
              <w:widowControl w:val="false"/>
              <w:rPr>
                <w:b/>
              </w:rPr>
            </w:pPr>
            <w:r>
              <w:rPr>
                <w:b/>
              </w:rPr>
              <w:t>Nom de la Variable</w:t>
            </w:r>
          </w:p>
        </w:tc>
        <w:tc>
          <w:tcPr>
            <w:tcW w:w="5190" w:type="dxa"/>
            <w:tcBorders>
              <w:top w:val="single" w:sz="2" w:space="0" w:color="CCCCCC"/>
              <w:left w:val="single" w:sz="2" w:space="0" w:color="CCCCCC"/>
              <w:bottom w:val="single" w:sz="2" w:space="0" w:color="CCCCCC"/>
              <w:right w:val="single" w:sz="2" w:space="0" w:color="CCCCCC"/>
            </w:tcBorders>
            <w:vAlign w:val="bottom"/>
          </w:tcPr>
          <w:p>
            <w:pPr>
              <w:pStyle w:val="normal1"/>
              <w:widowControl w:val="false"/>
              <w:rPr>
                <w:b/>
              </w:rPr>
            </w:pPr>
            <w:r>
              <w:rPr>
                <w:b/>
              </w:rPr>
              <w:t>Description</w:t>
            </w:r>
          </w:p>
        </w:tc>
      </w:tr>
      <w:tr>
        <w:trPr>
          <w:trHeight w:val="1005" w:hRule="atLeast"/>
        </w:trPr>
        <w:tc>
          <w:tcPr>
            <w:tcW w:w="2054" w:type="dxa"/>
            <w:tcBorders>
              <w:top w:val="single" w:sz="2" w:space="0" w:color="CCCCCC"/>
              <w:left w:val="single" w:sz="2" w:space="0" w:color="CCCCCC"/>
              <w:bottom w:val="single" w:sz="2" w:space="0" w:color="CCCCCC"/>
              <w:right w:val="single" w:sz="2" w:space="0" w:color="CCCCCC"/>
            </w:tcBorders>
            <w:vAlign w:val="bottom"/>
          </w:tcPr>
          <w:p>
            <w:pPr>
              <w:pStyle w:val="normal1"/>
              <w:widowControl w:val="false"/>
              <w:rPr/>
            </w:pPr>
            <w:r>
              <w:rPr/>
              <w:t>Year</w:t>
            </w:r>
          </w:p>
        </w:tc>
        <w:tc>
          <w:tcPr>
            <w:tcW w:w="5190" w:type="dxa"/>
            <w:tcBorders>
              <w:top w:val="single" w:sz="2" w:space="0" w:color="CCCCCC"/>
              <w:left w:val="single" w:sz="2" w:space="0" w:color="CCCCCC"/>
              <w:bottom w:val="single" w:sz="2" w:space="0" w:color="CCCCCC"/>
              <w:right w:val="single" w:sz="2" w:space="0" w:color="CCCCCC"/>
            </w:tcBorders>
            <w:vAlign w:val="bottom"/>
          </w:tcPr>
          <w:p>
            <w:pPr>
              <w:pStyle w:val="normal1"/>
              <w:widowControl w:val="false"/>
              <w:rPr/>
            </w:pPr>
            <w:r>
              <w:rPr/>
              <w:t>année</w:t>
            </w:r>
          </w:p>
        </w:tc>
      </w:tr>
      <w:tr>
        <w:trPr>
          <w:trHeight w:val="1005" w:hRule="atLeast"/>
        </w:trPr>
        <w:tc>
          <w:tcPr>
            <w:tcW w:w="2054" w:type="dxa"/>
            <w:tcBorders>
              <w:top w:val="single" w:sz="2" w:space="0" w:color="CCCCCC"/>
              <w:left w:val="single" w:sz="2" w:space="0" w:color="CCCCCC"/>
              <w:bottom w:val="single" w:sz="2" w:space="0" w:color="CCCCCC"/>
              <w:right w:val="single" w:sz="2" w:space="0" w:color="CCCCCC"/>
            </w:tcBorders>
            <w:vAlign w:val="bottom"/>
          </w:tcPr>
          <w:p>
            <w:pPr>
              <w:pStyle w:val="normal1"/>
              <w:widowControl w:val="false"/>
              <w:rPr/>
            </w:pPr>
            <w:r>
              <w:rPr/>
              <w:t>Number of AI-related bills</w:t>
            </w:r>
          </w:p>
        </w:tc>
        <w:tc>
          <w:tcPr>
            <w:tcW w:w="5190" w:type="dxa"/>
            <w:tcBorders>
              <w:top w:val="single" w:sz="2" w:space="0" w:color="CCCCCC"/>
              <w:left w:val="single" w:sz="2" w:space="0" w:color="CCCCCC"/>
              <w:bottom w:val="single" w:sz="2" w:space="0" w:color="CCCCCC"/>
              <w:right w:val="single" w:sz="2" w:space="0" w:color="CCCCCC"/>
            </w:tcBorders>
            <w:vAlign w:val="bottom"/>
          </w:tcPr>
          <w:p>
            <w:pPr>
              <w:pStyle w:val="normal1"/>
              <w:widowControl w:val="false"/>
              <w:rPr/>
            </w:pPr>
            <w:r>
              <w:rPr/>
              <w:t>nombre de loi relayé à l’IA</w:t>
            </w:r>
          </w:p>
        </w:tc>
      </w:tr>
      <w:tr>
        <w:trPr>
          <w:trHeight w:val="1005" w:hRule="atLeast"/>
        </w:trPr>
        <w:tc>
          <w:tcPr>
            <w:tcW w:w="2054" w:type="dxa"/>
            <w:tcBorders>
              <w:top w:val="single" w:sz="2" w:space="0" w:color="CCCCCC"/>
              <w:left w:val="single" w:sz="2" w:space="0" w:color="CCCCCC"/>
              <w:bottom w:val="single" w:sz="2" w:space="0" w:color="CCCCCC"/>
              <w:right w:val="single" w:sz="2" w:space="0" w:color="CCCCCC"/>
            </w:tcBorders>
            <w:vAlign w:val="bottom"/>
          </w:tcPr>
          <w:p>
            <w:pPr>
              <w:pStyle w:val="normal1"/>
              <w:widowControl w:val="false"/>
              <w:rPr/>
            </w:pPr>
            <w:r>
              <w:rPr/>
              <w:t>Label</w:t>
            </w:r>
          </w:p>
        </w:tc>
        <w:tc>
          <w:tcPr>
            <w:tcW w:w="5190" w:type="dxa"/>
            <w:tcBorders>
              <w:top w:val="single" w:sz="2" w:space="0" w:color="CCCCCC"/>
              <w:left w:val="single" w:sz="2" w:space="0" w:color="CCCCCC"/>
              <w:bottom w:val="single" w:sz="2" w:space="0" w:color="CCCCCC"/>
              <w:right w:val="single" w:sz="2" w:space="0" w:color="CCCCCC"/>
            </w:tcBorders>
            <w:vAlign w:val="bottom"/>
          </w:tcPr>
          <w:p>
            <w:pPr>
              <w:pStyle w:val="normal1"/>
              <w:widowControl w:val="false"/>
              <w:rPr/>
            </w:pPr>
            <w:r>
              <w:rPr/>
              <w:t xml:space="preserve">Indique le statut des lois relayé à l’IA : “Passed” vs “Proposed” </w:t>
            </w:r>
          </w:p>
        </w:tc>
      </w:tr>
    </w:tbl>
    <w:p>
      <w:pPr>
        <w:pStyle w:val="normal1"/>
        <w:rPr>
          <w:b/>
          <w:sz w:val="28"/>
          <w:szCs w:val="28"/>
        </w:rPr>
      </w:pPr>
      <w:r>
        <w:rPr>
          <w:b/>
          <w:sz w:val="28"/>
          <w:szCs w:val="28"/>
        </w:rPr>
      </w:r>
    </w:p>
    <w:p>
      <w:pPr>
        <w:pStyle w:val="normal1"/>
        <w:rPr>
          <w:b/>
          <w:sz w:val="28"/>
          <w:szCs w:val="28"/>
        </w:rPr>
      </w:pPr>
      <w:r>
        <w:rPr>
          <w:b/>
          <w:sz w:val="28"/>
          <w:szCs w:val="28"/>
        </w:rPr>
      </w:r>
    </w:p>
    <w:p>
      <w:pPr>
        <w:pStyle w:val="normal1"/>
        <w:rPr>
          <w:b/>
          <w:sz w:val="28"/>
          <w:szCs w:val="28"/>
        </w:rPr>
      </w:pPr>
      <w:r>
        <w:rPr>
          <w:b/>
          <w:sz w:val="28"/>
          <w:szCs w:val="28"/>
        </w:rPr>
      </w:r>
    </w:p>
    <w:p>
      <w:pPr>
        <w:pStyle w:val="normal1"/>
        <w:rPr>
          <w:b/>
          <w:sz w:val="28"/>
          <w:szCs w:val="28"/>
        </w:rPr>
      </w:pPr>
      <w:r>
        <w:rPr>
          <w:b/>
          <w:sz w:val="28"/>
          <w:szCs w:val="28"/>
        </w:rPr>
        <w:t xml:space="preserve">Complément bref des données quantitatives (les 27 restantes) : </w:t>
      </w:r>
    </w:p>
    <w:p>
      <w:pPr>
        <w:pStyle w:val="normal1"/>
        <w:rPr>
          <w:b/>
          <w:sz w:val="28"/>
          <w:szCs w:val="28"/>
        </w:rPr>
      </w:pPr>
      <w:r>
        <w:rPr>
          <w:b/>
          <w:sz w:val="28"/>
          <w:szCs w:val="28"/>
        </w:rPr>
      </w:r>
    </w:p>
    <w:p>
      <w:pPr>
        <w:pStyle w:val="normal1"/>
        <w:spacing w:lineRule="auto" w:line="240" w:before="240" w:after="240"/>
        <w:rPr>
          <w:sz w:val="28"/>
          <w:szCs w:val="28"/>
        </w:rPr>
      </w:pPr>
      <w:r>
        <w:rPr>
          <w:sz w:val="28"/>
          <w:szCs w:val="28"/>
        </w:rPr>
        <w:t>Ce complément présente brièvement les principales données quantitatives fournies par cette source, qui se distinguent en deux catégories :</w:t>
      </w:r>
    </w:p>
    <w:p>
      <w:pPr>
        <w:pStyle w:val="normal1"/>
        <w:numPr>
          <w:ilvl w:val="0"/>
          <w:numId w:val="1"/>
        </w:numPr>
        <w:spacing w:lineRule="auto" w:line="240" w:before="240" w:afterAutospacing="0" w:after="0"/>
        <w:ind w:hanging="360" w:left="720"/>
        <w:rPr>
          <w:sz w:val="28"/>
          <w:szCs w:val="28"/>
        </w:rPr>
      </w:pPr>
      <w:r>
        <w:rPr>
          <w:sz w:val="28"/>
          <w:szCs w:val="28"/>
        </w:rPr>
        <w:t>Données quantitatives spécifiques aux États-Unis</w:t>
        <w:br/>
      </w:r>
    </w:p>
    <w:p>
      <w:pPr>
        <w:pStyle w:val="normal1"/>
        <w:numPr>
          <w:ilvl w:val="0"/>
          <w:numId w:val="1"/>
        </w:numPr>
        <w:spacing w:lineRule="auto" w:line="240" w:beforeAutospacing="0" w:before="0" w:after="240"/>
        <w:ind w:hanging="360" w:left="720"/>
        <w:rPr>
          <w:sz w:val="28"/>
          <w:szCs w:val="28"/>
        </w:rPr>
      </w:pPr>
      <w:r>
        <w:rPr>
          <w:sz w:val="28"/>
          <w:szCs w:val="28"/>
        </w:rPr>
        <w:t>Données quantitatives à portée globale</w:t>
        <w:br/>
      </w:r>
    </w:p>
    <w:p>
      <w:pPr>
        <w:pStyle w:val="normal1"/>
        <w:spacing w:lineRule="auto" w:line="240" w:before="240" w:after="240"/>
        <w:rPr>
          <w:sz w:val="28"/>
          <w:szCs w:val="28"/>
        </w:rPr>
      </w:pPr>
      <w:r>
        <w:rPr>
          <w:sz w:val="28"/>
          <w:szCs w:val="28"/>
        </w:rPr>
        <w:t xml:space="preserve">Ces données sont extraites des visualisations et graphiques de la section 6 </w:t>
      </w:r>
      <w:r>
        <w:rPr>
          <w:i/>
          <w:sz w:val="28"/>
          <w:szCs w:val="28"/>
        </w:rPr>
        <w:t>“Policy Making”</w:t>
      </w:r>
      <w:r>
        <w:rPr>
          <w:sz w:val="28"/>
          <w:szCs w:val="28"/>
        </w:rPr>
        <w:t xml:space="preserve"> du </w:t>
      </w:r>
      <w:r>
        <w:rPr>
          <w:i/>
          <w:sz w:val="28"/>
          <w:szCs w:val="28"/>
        </w:rPr>
        <w:t>AI Index Report 2025</w:t>
      </w:r>
      <w:r>
        <w:rPr>
          <w:sz w:val="28"/>
          <w:szCs w:val="28"/>
        </w:rPr>
        <w:t>. Elles peuvent être mobilisées en complément d’autres sources, notamment les politiques de l’OCDE, afin d’apporter une valeur ajoutée à l’analyse. Leur intégration permettra d’enrichir notre tableau de bord interactif, en proposant des croisements de données innovants et pertinents à l’échelle nationale comme internationale.</w:t>
      </w:r>
    </w:p>
    <w:p>
      <w:pPr>
        <w:pStyle w:val="normal1"/>
        <w:rPr>
          <w:sz w:val="28"/>
          <w:szCs w:val="28"/>
        </w:rPr>
      </w:pPr>
      <w:r>
        <w:rPr>
          <w:sz w:val="28"/>
          <w:szCs w:val="28"/>
        </w:rPr>
      </w:r>
    </w:p>
    <w:p>
      <w:pPr>
        <w:pStyle w:val="normal1"/>
        <w:rPr>
          <w:sz w:val="28"/>
          <w:szCs w:val="28"/>
        </w:rPr>
      </w:pPr>
      <w:r>
        <w:rPr>
          <w:sz w:val="28"/>
          <w:szCs w:val="28"/>
        </w:rPr>
      </w:r>
    </w:p>
    <w:p>
      <w:pPr>
        <w:pStyle w:val="normal1"/>
        <w:rPr>
          <w:b/>
          <w:sz w:val="26"/>
          <w:szCs w:val="26"/>
        </w:rPr>
      </w:pPr>
      <w:r>
        <w:rPr>
          <w:b/>
          <w:sz w:val="26"/>
          <w:szCs w:val="26"/>
        </w:rPr>
        <w:t>1. Données quant. globale</w:t>
      </w:r>
    </w:p>
    <w:p>
      <w:pPr>
        <w:pStyle w:val="normal1"/>
        <w:rPr>
          <w:b/>
          <w:sz w:val="28"/>
          <w:szCs w:val="28"/>
        </w:rPr>
      </w:pPr>
      <w:r>
        <w:rPr>
          <w:b/>
          <w:sz w:val="28"/>
          <w:szCs w:val="28"/>
        </w:rPr>
      </w:r>
    </w:p>
    <w:p>
      <w:pPr>
        <w:pStyle w:val="normal1"/>
        <w:numPr>
          <w:ilvl w:val="0"/>
          <w:numId w:val="3"/>
        </w:numPr>
        <w:spacing w:lineRule="auto" w:line="240" w:before="0" w:after="200"/>
        <w:ind w:hanging="360" w:left="720"/>
        <w:rPr/>
      </w:pPr>
      <w:r>
        <w:rPr/>
        <w:t>Nombre de projets de loi relatifs à l'IA adoptés dans certaines zones géographiques, 2024</w:t>
      </w:r>
    </w:p>
    <w:p>
      <w:pPr>
        <w:pStyle w:val="normal1"/>
        <w:numPr>
          <w:ilvl w:val="0"/>
          <w:numId w:val="3"/>
        </w:numPr>
        <w:spacing w:lineRule="auto" w:line="240" w:before="0" w:after="200"/>
        <w:ind w:hanging="360" w:left="720"/>
        <w:rPr/>
      </w:pPr>
      <w:r>
        <w:rPr/>
        <w:t>Nombre de projets de loi relatifs à l'IA adoptés dans certaines zones géographiques, 2016-2024 (somme)</w:t>
      </w:r>
    </w:p>
    <w:p>
      <w:pPr>
        <w:pStyle w:val="normal1"/>
        <w:numPr>
          <w:ilvl w:val="0"/>
          <w:numId w:val="3"/>
        </w:numPr>
        <w:spacing w:lineRule="auto" w:line="240" w:before="0" w:after="200"/>
        <w:ind w:hanging="360" w:left="720"/>
        <w:rPr/>
      </w:pPr>
      <w:r>
        <w:rPr/>
        <w:t>Nombre de mentions de l'IA dans les procédures législatives dans 75 zones géographiques sélectionnées, 2016-2024</w:t>
      </w:r>
    </w:p>
    <w:p>
      <w:pPr>
        <w:pStyle w:val="normal1"/>
        <w:numPr>
          <w:ilvl w:val="0"/>
          <w:numId w:val="3"/>
        </w:numPr>
        <w:spacing w:lineRule="auto" w:line="240" w:before="0" w:after="200"/>
        <w:ind w:hanging="360" w:left="720"/>
        <w:rPr/>
      </w:pPr>
      <w:r>
        <w:rPr/>
        <w:t>Nombre de mentions de l'IA dans les procédures législatives par pays, 2024</w:t>
      </w:r>
    </w:p>
    <w:p>
      <w:pPr>
        <w:pStyle w:val="normal1"/>
        <w:numPr>
          <w:ilvl w:val="0"/>
          <w:numId w:val="3"/>
        </w:numPr>
        <w:spacing w:lineRule="auto" w:line="240" w:before="0" w:after="200"/>
        <w:ind w:hanging="360" w:left="720"/>
        <w:rPr/>
      </w:pPr>
      <w:r>
        <w:rPr/>
        <w:t>Mentions de l'IA dans les procédures législatives et projets de loi relatifs à l'IA adoptés dans certains pays, 2016-2024</w:t>
      </w:r>
    </w:p>
    <w:p>
      <w:pPr>
        <w:pStyle w:val="normal1"/>
        <w:numPr>
          <w:ilvl w:val="0"/>
          <w:numId w:val="3"/>
        </w:numPr>
        <w:spacing w:lineRule="auto" w:line="240" w:before="0" w:after="200"/>
        <w:ind w:hanging="360" w:left="720"/>
        <w:rPr/>
      </w:pPr>
      <w:r>
        <w:rPr/>
        <w:t>Dépenses publiques consacrées aux contrats liés à l'IA dans certains pays, 2013-2023 (somme)</w:t>
      </w:r>
    </w:p>
    <w:p>
      <w:pPr>
        <w:pStyle w:val="normal1"/>
        <w:numPr>
          <w:ilvl w:val="0"/>
          <w:numId w:val="3"/>
        </w:numPr>
        <w:spacing w:lineRule="auto" w:line="240" w:before="0" w:after="200"/>
        <w:ind w:hanging="360" w:left="720"/>
        <w:rPr/>
      </w:pPr>
      <w:r>
        <w:rPr/>
        <w:t>Nombre de contrats liés à l'IA dans certains pays, 2013-2023 (somme)</w:t>
      </w:r>
    </w:p>
    <w:p>
      <w:pPr>
        <w:pStyle w:val="normal1"/>
        <w:numPr>
          <w:ilvl w:val="0"/>
          <w:numId w:val="3"/>
        </w:numPr>
        <w:spacing w:lineRule="auto" w:line="240" w:before="0" w:after="200"/>
        <w:ind w:hanging="360" w:left="720"/>
        <w:rPr/>
      </w:pPr>
      <w:r>
        <w:rPr/>
        <w:t>Valeur médiane des contrats publics liés à l'IA dans certains pays, 2013-2023</w:t>
      </w:r>
    </w:p>
    <w:p>
      <w:pPr>
        <w:pStyle w:val="normal1"/>
        <w:numPr>
          <w:ilvl w:val="0"/>
          <w:numId w:val="3"/>
        </w:numPr>
        <w:spacing w:lineRule="auto" w:line="240" w:before="0" w:after="200"/>
        <w:ind w:hanging="360" w:left="720"/>
        <w:rPr/>
      </w:pPr>
      <w:r>
        <w:rPr/>
        <w:t>Dépenses publiques consacrées aux contrats liés à l'IA pour 100 000 habitants dans certains pays, 2013-2023 (somme)</w:t>
      </w:r>
    </w:p>
    <w:p>
      <w:pPr>
        <w:pStyle w:val="normal1"/>
        <w:numPr>
          <w:ilvl w:val="0"/>
          <w:numId w:val="3"/>
        </w:numPr>
        <w:spacing w:lineRule="auto" w:line="240" w:before="0" w:after="200"/>
        <w:ind w:hanging="360" w:left="720"/>
        <w:rPr/>
      </w:pPr>
      <w:r>
        <w:rPr/>
        <w:t>Dépenses publiques consacrées aux contrats liés à l'IA dans certains pays, 2023</w:t>
      </w:r>
    </w:p>
    <w:p>
      <w:pPr>
        <w:pStyle w:val="normal1"/>
        <w:numPr>
          <w:ilvl w:val="0"/>
          <w:numId w:val="3"/>
        </w:numPr>
        <w:spacing w:lineRule="auto" w:line="240" w:before="0" w:after="200"/>
        <w:ind w:hanging="360" w:left="720"/>
        <w:rPr/>
      </w:pPr>
      <w:r>
        <w:rPr/>
        <w:t>Dépenses publiques consacrées aux contrats liés à l'IA aux États-Unis et en Europe, 2013-2023</w:t>
      </w:r>
    </w:p>
    <w:p>
      <w:pPr>
        <w:pStyle w:val="normal1"/>
        <w:numPr>
          <w:ilvl w:val="0"/>
          <w:numId w:val="3"/>
        </w:numPr>
        <w:spacing w:lineRule="auto" w:line="240" w:before="0" w:after="200"/>
        <w:ind w:hanging="360" w:left="720"/>
        <w:rPr/>
      </w:pPr>
      <w:r>
        <w:rPr/>
        <w:t>Différence dans les dépenses publiques consacrées aux contrats liés à l’IA entre les États-Unis et l’Europe, 2013-2023</w:t>
      </w:r>
    </w:p>
    <w:p>
      <w:pPr>
        <w:pStyle w:val="normal1"/>
        <w:numPr>
          <w:ilvl w:val="0"/>
          <w:numId w:val="3"/>
        </w:numPr>
        <w:spacing w:lineRule="auto" w:line="240" w:before="0" w:after="200"/>
        <w:ind w:hanging="360" w:left="720"/>
        <w:rPr/>
      </w:pPr>
      <w:r>
        <w:rPr/>
        <w:t>Dépenses publiques consacrées aux contrats liés à l'IA dans les 5 principaux pays européens, 2013-2023</w:t>
      </w:r>
    </w:p>
    <w:p>
      <w:pPr>
        <w:pStyle w:val="normal1"/>
        <w:numPr>
          <w:ilvl w:val="0"/>
          <w:numId w:val="3"/>
        </w:numPr>
        <w:spacing w:lineRule="auto" w:line="240" w:before="0" w:after="200"/>
        <w:ind w:hanging="360" w:left="720"/>
        <w:rPr/>
      </w:pPr>
      <w:r>
        <w:rPr/>
        <w:t>Dépenses publiques consacrées aux contrats liés à l'IA (% du total) en Europe par activité d'agence de financement, 2013-2023</w:t>
      </w:r>
    </w:p>
    <w:p>
      <w:pPr>
        <w:pStyle w:val="normal1"/>
        <w:ind w:hanging="0" w:left="0"/>
        <w:rPr>
          <w:sz w:val="28"/>
          <w:szCs w:val="28"/>
        </w:rPr>
      </w:pPr>
      <w:r>
        <w:rPr>
          <w:sz w:val="28"/>
          <w:szCs w:val="28"/>
        </w:rPr>
      </w:r>
    </w:p>
    <w:p>
      <w:pPr>
        <w:pStyle w:val="normal1"/>
        <w:ind w:hanging="0" w:left="0"/>
        <w:rPr>
          <w:sz w:val="28"/>
          <w:szCs w:val="28"/>
        </w:rPr>
      </w:pPr>
      <w:r>
        <w:rPr>
          <w:sz w:val="28"/>
          <w:szCs w:val="28"/>
        </w:rPr>
      </w:r>
    </w:p>
    <w:p>
      <w:pPr>
        <w:pStyle w:val="normal1"/>
        <w:rPr>
          <w:b/>
          <w:sz w:val="26"/>
          <w:szCs w:val="26"/>
        </w:rPr>
      </w:pPr>
      <w:r>
        <w:rPr>
          <w:b/>
          <w:sz w:val="26"/>
          <w:szCs w:val="26"/>
        </w:rPr>
        <w:t>2. Données quant. relatif aux US</w:t>
      </w:r>
    </w:p>
    <w:p>
      <w:pPr>
        <w:pStyle w:val="normal1"/>
        <w:rPr>
          <w:b/>
          <w:sz w:val="28"/>
          <w:szCs w:val="28"/>
        </w:rPr>
      </w:pPr>
      <w:r>
        <w:rPr>
          <w:b/>
          <w:sz w:val="28"/>
          <w:szCs w:val="28"/>
        </w:rPr>
      </w:r>
    </w:p>
    <w:p>
      <w:pPr>
        <w:pStyle w:val="normal1"/>
        <w:numPr>
          <w:ilvl w:val="0"/>
          <w:numId w:val="2"/>
        </w:numPr>
        <w:spacing w:lineRule="auto" w:line="240" w:before="0" w:after="200"/>
        <w:ind w:hanging="360" w:left="720"/>
        <w:rPr/>
      </w:pPr>
      <w:r>
        <w:rPr/>
        <w:t>Nombre de projets de loi relatifs à l'IA adoptés dans certains États américains, 2024</w:t>
      </w:r>
    </w:p>
    <w:p>
      <w:pPr>
        <w:pStyle w:val="normal1"/>
        <w:numPr>
          <w:ilvl w:val="0"/>
          <w:numId w:val="2"/>
        </w:numPr>
        <w:spacing w:lineRule="auto" w:line="240" w:before="0" w:after="200"/>
        <w:ind w:hanging="360" w:left="720"/>
        <w:rPr/>
      </w:pPr>
      <w:r>
        <w:rPr/>
        <w:t>Nombre de projets de loi relatifs à l'IA adoptés au niveau des États américains, par État, 2016-2024 (somme)</w:t>
      </w:r>
    </w:p>
    <w:p>
      <w:pPr>
        <w:pStyle w:val="normal1"/>
        <w:numPr>
          <w:ilvl w:val="0"/>
          <w:numId w:val="2"/>
        </w:numPr>
        <w:spacing w:lineRule="auto" w:line="240" w:before="0" w:after="200"/>
        <w:ind w:hanging="360" w:left="720"/>
        <w:rPr/>
      </w:pPr>
      <w:r>
        <w:rPr/>
        <w:t>Nombre de projets de loi relatifs à l'IA adoptés par tous les États américains, 2016-2024</w:t>
      </w:r>
    </w:p>
    <w:p>
      <w:pPr>
        <w:pStyle w:val="normal1"/>
        <w:numPr>
          <w:ilvl w:val="0"/>
          <w:numId w:val="2"/>
        </w:numPr>
        <w:spacing w:lineRule="auto" w:line="240" w:before="0" w:after="200"/>
        <w:ind w:hanging="360" w:left="720"/>
        <w:rPr/>
      </w:pPr>
      <w:r>
        <w:rPr/>
        <w:t>Nombre de lois adoptées au niveau des États concernant les deepfakes générés par l'IA dans les images intimes et les élections aux États-Unis, 2019-2024</w:t>
      </w:r>
    </w:p>
    <w:p>
      <w:pPr>
        <w:pStyle w:val="normal1"/>
        <w:numPr>
          <w:ilvl w:val="0"/>
          <w:numId w:val="2"/>
        </w:numPr>
        <w:spacing w:lineRule="auto" w:line="240" w:before="0" w:after="200"/>
        <w:ind w:hanging="360" w:left="720"/>
        <w:rPr/>
      </w:pPr>
      <w:r>
        <w:rPr/>
        <w:t xml:space="preserve">Lois au niveau des États réglementant les deepfakes générés par l'IA </w:t>
      </w:r>
      <w:r>
        <w:rPr>
          <w:u w:val="single"/>
        </w:rPr>
        <w:t>lors des élections</w:t>
      </w:r>
      <w:r>
        <w:rPr/>
        <w:t xml:space="preserve"> aux États-Unis, par État et par statut, en 2024</w:t>
      </w:r>
    </w:p>
    <w:p>
      <w:pPr>
        <w:pStyle w:val="normal1"/>
        <w:numPr>
          <w:ilvl w:val="0"/>
          <w:numId w:val="2"/>
        </w:numPr>
        <w:spacing w:lineRule="auto" w:line="240" w:before="0" w:after="200"/>
        <w:ind w:hanging="360" w:left="720"/>
        <w:rPr/>
      </w:pPr>
      <w:r>
        <w:rPr/>
        <w:t xml:space="preserve">Lois au niveau des États réglementant les deepfakes générés par l'IA </w:t>
      </w:r>
      <w:r>
        <w:rPr>
          <w:u w:val="single"/>
        </w:rPr>
        <w:t>dans les images intimes</w:t>
      </w:r>
      <w:r>
        <w:rPr/>
        <w:t xml:space="preserve"> aux États-Unis, par État et par statut, en 2024</w:t>
      </w:r>
    </w:p>
    <w:p>
      <w:pPr>
        <w:pStyle w:val="normal1"/>
        <w:numPr>
          <w:ilvl w:val="0"/>
          <w:numId w:val="2"/>
        </w:numPr>
        <w:spacing w:lineRule="auto" w:line="240" w:before="0" w:after="200"/>
        <w:ind w:hanging="360" w:left="720"/>
        <w:rPr/>
      </w:pPr>
      <w:r>
        <w:rPr/>
        <w:t>Mentions de l'IA dans les rapports des comités américains par session législative, 2001-2024</w:t>
      </w:r>
    </w:p>
    <w:p>
      <w:pPr>
        <w:pStyle w:val="normal1"/>
        <w:numPr>
          <w:ilvl w:val="0"/>
          <w:numId w:val="2"/>
        </w:numPr>
        <w:spacing w:lineRule="auto" w:line="240" w:before="0" w:after="200"/>
        <w:ind w:hanging="360" w:left="720"/>
        <w:rPr/>
      </w:pPr>
      <w:r>
        <w:rPr/>
        <w:t>Nombre de réglementations liées à l'IA aux États-Unis, 2016-2024</w:t>
      </w:r>
    </w:p>
    <w:p>
      <w:pPr>
        <w:pStyle w:val="normal1"/>
        <w:numPr>
          <w:ilvl w:val="0"/>
          <w:numId w:val="2"/>
        </w:numPr>
        <w:spacing w:lineRule="auto" w:line="240" w:before="0" w:after="200"/>
        <w:ind w:hanging="360" w:left="720"/>
        <w:rPr/>
      </w:pPr>
      <w:r>
        <w:rPr/>
        <w:t>Nombre de réglementations liées à l'IA aux États-Unis par agence, 2016-2024</w:t>
      </w:r>
    </w:p>
    <w:p>
      <w:pPr>
        <w:pStyle w:val="normal1"/>
        <w:numPr>
          <w:ilvl w:val="0"/>
          <w:numId w:val="2"/>
        </w:numPr>
        <w:spacing w:lineRule="auto" w:line="240" w:before="0" w:after="200"/>
        <w:ind w:hanging="360" w:left="720"/>
        <w:rPr/>
      </w:pPr>
      <w:r>
        <w:rPr/>
        <w:t>Dépenses publiques consacrées aux contrats liés à l'IA (% du total) aux États-Unis par organisme de financement, 2013-2023</w:t>
      </w:r>
    </w:p>
    <w:p>
      <w:pPr>
        <w:pStyle w:val="normal1"/>
        <w:numPr>
          <w:ilvl w:val="0"/>
          <w:numId w:val="2"/>
        </w:numPr>
        <w:spacing w:lineRule="auto" w:line="240" w:before="0" w:after="200"/>
        <w:ind w:hanging="360" w:left="720"/>
        <w:rPr/>
      </w:pPr>
      <w:r>
        <w:rPr/>
        <w:t>Dépenses publiques consacrées aux subventions liées à l'IA aux États-Unis, 2013-2023</w:t>
      </w:r>
    </w:p>
    <w:p>
      <w:pPr>
        <w:pStyle w:val="normal1"/>
        <w:numPr>
          <w:ilvl w:val="0"/>
          <w:numId w:val="2"/>
        </w:numPr>
        <w:spacing w:lineRule="auto" w:line="240" w:before="0" w:after="200"/>
        <w:ind w:hanging="360" w:left="720"/>
        <w:rPr/>
      </w:pPr>
      <w:r>
        <w:rPr/>
        <w:t>Dépenses publiques consacrées aux subventions liées à l'IA (% du total) par organisme de financement, 2013-2023</w:t>
      </w:r>
    </w:p>
    <w:p>
      <w:pPr>
        <w:pStyle w:val="normal1"/>
        <w:ind w:hanging="0" w:left="0"/>
        <w:rPr>
          <w:sz w:val="28"/>
          <w:szCs w:val="28"/>
        </w:rPr>
      </w:pPr>
      <w:r>
        <w:rPr>
          <w:sz w:val="28"/>
          <w:szCs w:val="28"/>
        </w:rPr>
      </w:r>
    </w:p>
    <w:p>
      <w:pPr>
        <w:pStyle w:val="normal1"/>
        <w:ind w:hanging="0" w:left="0"/>
        <w:rPr/>
      </w:pPr>
      <w:r>
        <w:rPr/>
        <w:t>On observe une forte concentration de données concernant les États-Unis, qui apparaissent comme le pays le plus avancé en matière d’intelligence artificielle. Il serait donc pertinent de réaliser des analyses spécifiques en croisant ces données avec d'autres sources, notamment pour approfondir la dynamique propre aux États-Unis.</w:t>
      </w:r>
    </w:p>
    <w:sectPr>
      <w:headerReference w:type="even" r:id="rId2"/>
      <w:headerReference w:type="default" r:id="rId3"/>
      <w:headerReference w:type="first" r:id="rId4"/>
      <w:type w:val="nextPage"/>
      <w:pgSz w:w="11906" w:h="16838"/>
      <w:pgMar w:left="1440" w:right="1440" w:gutter="0" w:header="72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En-tteetpieddepage">
    <w:name w:val="En-tête et pied de page"/>
    <w:basedOn w:val="Normal"/>
    <w:qFormat/>
    <w:pPr/>
    <w:rPr/>
  </w:style>
  <w:style w:type="paragraph" w:styleId="Header">
    <w:name w:val="header"/>
    <w:basedOn w:val="En-tteetpieddepage"/>
    <w:pPr/>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LibreOffice/25.2.4.3$Windows_X86_64 LibreOffice_project/33e196637044ead23f5c3226cde09b47731f7e27</Application>
  <AppVersion>15.0000</AppVersion>
  <Pages>5</Pages>
  <Words>1027</Words>
  <Characters>5780</Characters>
  <CharactersWithSpaces>6717</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2025-07-21T11:16:25Z</dcterms:modified>
  <cp:revision>1</cp:revision>
  <dc:subject/>
  <dc:title/>
</cp:coreProperties>
</file>