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Fiche desc. Source 5 : GitHub – Awesome AI Regulation, Principles &amp; Guidelines</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Structure : </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Cette source n’est pas structurées et les données en question n’ont pas les mêmes format : </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Les liens ne sont pas structurés de façon uniforme :</w:t>
      </w:r>
    </w:p>
    <w:p w:rsidR="00000000" w:rsidDel="00000000" w:rsidP="00000000" w:rsidRDefault="00000000" w:rsidRPr="00000000" w14:paraId="00000008">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Certains renvoient vers des PDFs officiels, d’autres vers des articles de presse, des analyses de think tanks, etc.</w:t>
      </w:r>
    </w:p>
    <w:p w:rsidR="00000000" w:rsidDel="00000000" w:rsidP="00000000" w:rsidRDefault="00000000" w:rsidRPr="00000000" w14:paraId="00000009">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Aucun format commun (pas de métadonnées intégrées, pas de </w:t>
      </w:r>
      <w:r w:rsidDel="00000000" w:rsidR="00000000" w:rsidRPr="00000000">
        <w:rPr>
          <w:rFonts w:ascii="Roboto Mono" w:cs="Roboto Mono" w:eastAsia="Roboto Mono" w:hAnsi="Roboto Mono"/>
          <w:sz w:val="24"/>
          <w:szCs w:val="24"/>
          <w:rtl w:val="0"/>
        </w:rPr>
        <w:t xml:space="preserve">API</w:t>
      </w:r>
      <w:r w:rsidDel="00000000" w:rsidR="00000000" w:rsidRPr="00000000">
        <w:rPr>
          <w:sz w:val="24"/>
          <w:szCs w:val="24"/>
          <w:rtl w:val="0"/>
        </w:rPr>
        <w:t xml:space="preserve"> liée).</w:t>
      </w:r>
    </w:p>
    <w:p w:rsidR="00000000" w:rsidDel="00000000" w:rsidP="00000000" w:rsidRDefault="00000000" w:rsidRPr="00000000" w14:paraId="0000000A">
      <w:pPr>
        <w:spacing w:after="240" w:before="240" w:lineRule="auto"/>
        <w:ind w:left="0" w:firstLine="0"/>
        <w:rPr>
          <w:sz w:val="24"/>
          <w:szCs w:val="24"/>
        </w:rPr>
      </w:pPr>
      <w:r w:rsidDel="00000000" w:rsidR="00000000" w:rsidRPr="00000000">
        <w:rPr>
          <w:sz w:val="24"/>
          <w:szCs w:val="24"/>
          <w:rtl w:val="0"/>
        </w:rPr>
        <w:t xml:space="preserve">De plus, les langues varient fortement : on a des pages en chinois, Allemand, Japonais et également des pdf approfondissant en détails les politiques en IA.</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Certains liens pointent vers des pages intermédiaires :</w:t>
      </w:r>
    </w:p>
    <w:p w:rsidR="00000000" w:rsidDel="00000000" w:rsidP="00000000" w:rsidRDefault="00000000" w:rsidRPr="00000000" w14:paraId="0000000C">
      <w:pPr>
        <w:numPr>
          <w:ilvl w:val="0"/>
          <w:numId w:val="5"/>
        </w:numPr>
        <w:spacing w:after="240" w:before="240" w:lineRule="auto"/>
        <w:ind w:left="720" w:hanging="360"/>
        <w:rPr>
          <w:sz w:val="24"/>
          <w:szCs w:val="24"/>
        </w:rPr>
      </w:pPr>
      <w:r w:rsidDel="00000000" w:rsidR="00000000" w:rsidRPr="00000000">
        <w:rPr>
          <w:sz w:val="24"/>
          <w:szCs w:val="24"/>
          <w:rtl w:val="0"/>
        </w:rPr>
        <w:t xml:space="preserve">Il faut parfois cliquer plusieurs fois ou lire un paragraphe pour comprendre et/ou atteindre le type de document (loi, stratégie, projet, etc.)</w:t>
      </w:r>
    </w:p>
    <w:p w:rsidR="00000000" w:rsidDel="00000000" w:rsidP="00000000" w:rsidRDefault="00000000" w:rsidRPr="00000000" w14:paraId="0000000D">
      <w:pPr>
        <w:spacing w:after="240" w:before="240" w:lineRule="auto"/>
        <w:rPr>
          <w:b w:val="1"/>
          <w:sz w:val="24"/>
          <w:szCs w:val="24"/>
        </w:rPr>
      </w:pPr>
      <w:r w:rsidDel="00000000" w:rsidR="00000000" w:rsidRPr="00000000">
        <w:rPr>
          <w:b w:val="1"/>
          <w:sz w:val="24"/>
          <w:szCs w:val="24"/>
          <w:rtl w:val="0"/>
        </w:rPr>
        <w:t xml:space="preserve">Néanmoins on peut automatiser partiellement les variables suivante : </w:t>
      </w:r>
    </w:p>
    <w:p w:rsidR="00000000" w:rsidDel="00000000" w:rsidP="00000000" w:rsidRDefault="00000000" w:rsidRPr="00000000" w14:paraId="0000000E">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nom du Pays</w:t>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Titre de politiques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Texte résumant la politique</w:t>
      </w:r>
    </w:p>
    <w:p w:rsidR="00000000" w:rsidDel="00000000" w:rsidP="00000000" w:rsidRDefault="00000000" w:rsidRPr="00000000" w14:paraId="00000011">
      <w:pPr>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URL du lien</w:t>
      </w:r>
    </w:p>
    <w:p w:rsidR="00000000" w:rsidDel="00000000" w:rsidP="00000000" w:rsidRDefault="00000000" w:rsidRPr="00000000" w14:paraId="0000001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Cependant, je vais </w:t>
      </w:r>
      <w:r w:rsidDel="00000000" w:rsidR="00000000" w:rsidRPr="00000000">
        <w:rPr>
          <w:sz w:val="24"/>
          <w:szCs w:val="24"/>
          <w:rtl w:val="0"/>
        </w:rPr>
        <w:t xml:space="preserve">manuellement</w:t>
      </w:r>
      <w:r w:rsidDel="00000000" w:rsidR="00000000" w:rsidRPr="00000000">
        <w:rPr>
          <w:sz w:val="24"/>
          <w:szCs w:val="24"/>
          <w:rtl w:val="0"/>
        </w:rPr>
        <w:t xml:space="preserve"> rechercher les variables (communes en général) de toutes les politiques de cette source car le nombre n’est pas très grand :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Dans cette source de données il y a plusieurs sections contenant des données différentes, j’ai donc décidé de garder seulement celle qui possède des données intéressantes pour notre projet d’analyse des politiques publiques en IA.</w:t>
      </w:r>
    </w:p>
    <w:p w:rsidR="00000000" w:rsidDel="00000000" w:rsidP="00000000" w:rsidRDefault="00000000" w:rsidRPr="00000000" w14:paraId="00000015">
      <w:pPr>
        <w:spacing w:after="240" w:before="240" w:lineRule="auto"/>
        <w:ind w:left="0" w:firstLine="0"/>
        <w:rPr>
          <w:sz w:val="26"/>
          <w:szCs w:val="26"/>
        </w:rPr>
      </w:pPr>
      <w:r w:rsidDel="00000000" w:rsidR="00000000" w:rsidRPr="00000000">
        <w:rPr>
          <w:sz w:val="26"/>
          <w:szCs w:val="26"/>
          <w:rtl w:val="0"/>
        </w:rPr>
        <w:t xml:space="preserve">A. Section </w:t>
      </w:r>
      <w:r w:rsidDel="00000000" w:rsidR="00000000" w:rsidRPr="00000000">
        <w:rPr>
          <w:b w:val="1"/>
          <w:sz w:val="26"/>
          <w:szCs w:val="26"/>
          <w:rtl w:val="0"/>
        </w:rPr>
        <w:t xml:space="preserve">Regulation and policy</w:t>
      </w:r>
      <w:r w:rsidDel="00000000" w:rsidR="00000000" w:rsidRPr="00000000">
        <w:rPr>
          <w:sz w:val="26"/>
          <w:szCs w:val="26"/>
          <w:rtl w:val="0"/>
        </w:rPr>
        <w:t xml:space="preserve"> : 38 données</w:t>
      </w:r>
    </w:p>
    <w:p w:rsidR="00000000" w:rsidDel="00000000" w:rsidP="00000000" w:rsidRDefault="00000000" w:rsidRPr="00000000" w14:paraId="00000016">
      <w:pPr>
        <w:spacing w:after="240" w:before="240" w:lineRule="auto"/>
        <w:rPr/>
      </w:pPr>
      <w:r w:rsidDel="00000000" w:rsidR="00000000" w:rsidRPr="00000000">
        <w:rPr>
          <w:rtl w:val="0"/>
        </w:rPr>
        <w:t xml:space="preserve">Cette section recense les principales lois, stratégies nationales et cadres réglementaires en lien avec l'intelligence artificielle à travers plusieurs pays. On y trouve des initiatives législatives (ex. EU AI Act, CCPA, AIDA), des stratégies gouvernementales (ex. UAE National Strategy for AI, India AI Strategy), et des documents de principes éthiques (ex. Beijing AI Principles, DoD Ethical Principles for AI).</w:t>
      </w:r>
    </w:p>
    <w:p w:rsidR="00000000" w:rsidDel="00000000" w:rsidP="00000000" w:rsidRDefault="00000000" w:rsidRPr="00000000" w14:paraId="00000017">
      <w:pPr>
        <w:spacing w:after="240" w:before="240" w:lineRule="auto"/>
        <w:rPr/>
      </w:pPr>
      <w:r w:rsidDel="00000000" w:rsidR="00000000" w:rsidRPr="00000000">
        <w:rPr>
          <w:rtl w:val="0"/>
        </w:rPr>
        <w:br w:type="textWrapping"/>
        <w:t xml:space="preserve"> Ces politiques couvrent des thématiques variées comme :</w:t>
      </w:r>
    </w:p>
    <w:p w:rsidR="00000000" w:rsidDel="00000000" w:rsidP="00000000" w:rsidRDefault="00000000" w:rsidRPr="00000000" w14:paraId="00000018">
      <w:pPr>
        <w:numPr>
          <w:ilvl w:val="0"/>
          <w:numId w:val="2"/>
        </w:numPr>
        <w:spacing w:after="0" w:afterAutospacing="0" w:before="240" w:lineRule="auto"/>
        <w:ind w:left="720" w:hanging="360"/>
      </w:pPr>
      <w:r w:rsidDel="00000000" w:rsidR="00000000" w:rsidRPr="00000000">
        <w:rPr>
          <w:rtl w:val="0"/>
        </w:rPr>
        <w:t xml:space="preserve">protection des données personnelles (GDPR, DPDP Act, nFADP),</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cybersécurité,</w:t>
        <w:br w:type="textWrapping"/>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rtl w:val="0"/>
        </w:rPr>
        <w:t xml:space="preserve">déploiement responsable de l’IA,</w:t>
        <w:br w:type="textWrapping"/>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ou encore l’alignement éthique et international.</w:t>
        <w:br w:type="textWrapping"/>
        <w:t xml:space="preserve"> Certaines sont déjà en vigueur ("in force"), d’autres en cours de délibération.</w:t>
      </w:r>
    </w:p>
    <w:p w:rsidR="00000000" w:rsidDel="00000000" w:rsidP="00000000" w:rsidRDefault="00000000" w:rsidRPr="00000000" w14:paraId="0000001C">
      <w:pPr>
        <w:spacing w:after="240" w:before="240" w:lineRule="auto"/>
        <w:rPr/>
      </w:pPr>
      <w:r w:rsidDel="00000000" w:rsidR="00000000" w:rsidRPr="00000000">
        <w:rPr>
          <w:rtl w:val="0"/>
        </w:rPr>
        <w:t xml:space="preserve"> Cette section constitue une base essentielle pour analyser la diversité des approches nationales en matière de gouvernance et de régulation de l’IA. Elle permet d’identifier les priorités politiques propres à chaque pays, ainsi que les cadres juridiques concrets mis en place pour encadrer l’IA.</w:t>
      </w:r>
    </w:p>
    <w:p w:rsidR="00000000" w:rsidDel="00000000" w:rsidP="00000000" w:rsidRDefault="00000000" w:rsidRPr="00000000" w14:paraId="0000001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0" w:firstLine="0"/>
        <w:rPr>
          <w:sz w:val="24"/>
          <w:szCs w:val="24"/>
        </w:rPr>
      </w:pPr>
      <w:r w:rsidDel="00000000" w:rsidR="00000000" w:rsidRPr="00000000">
        <w:rPr>
          <w:sz w:val="26"/>
          <w:szCs w:val="26"/>
          <w:rtl w:val="0"/>
        </w:rPr>
        <w:t xml:space="preserve">B. Section </w:t>
      </w:r>
      <w:r w:rsidDel="00000000" w:rsidR="00000000" w:rsidRPr="00000000">
        <w:rPr>
          <w:b w:val="1"/>
          <w:sz w:val="26"/>
          <w:szCs w:val="26"/>
          <w:rtl w:val="0"/>
        </w:rPr>
        <w:t xml:space="preserve">High Level Frameworks and principles</w:t>
      </w:r>
      <w:r w:rsidDel="00000000" w:rsidR="00000000" w:rsidRPr="00000000">
        <w:rPr>
          <w:sz w:val="26"/>
          <w:szCs w:val="26"/>
          <w:rtl w:val="0"/>
        </w:rPr>
        <w:t xml:space="preserve"> : 19 données </w:t>
        <w:tab/>
        <w:br w:type="textWrapping"/>
      </w: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(ici voir si on prend toutes les données car certaines ne sont pas directement des politiques bien qu’elles soient lié à l’IA)</w:t>
      </w:r>
    </w:p>
    <w:p w:rsidR="00000000" w:rsidDel="00000000" w:rsidP="00000000" w:rsidRDefault="00000000" w:rsidRPr="00000000" w14:paraId="00000021">
      <w:pPr>
        <w:spacing w:after="240" w:before="240" w:lineRule="auto"/>
        <w:rPr/>
      </w:pPr>
      <w:r w:rsidDel="00000000" w:rsidR="00000000" w:rsidRPr="00000000">
        <w:rPr>
          <w:rtl w:val="0"/>
        </w:rPr>
        <w:t xml:space="preserve">Cette section recense des principes éthiques, chartes, recommandations et bonnes pratiques issus de gouvernements, institutions internationales, universités ou acteurs industriels. L’objectif est d’encadrer le développement de l’IA de manière responsable et éthique, même sans force légale contraignante.</w:t>
      </w:r>
    </w:p>
    <w:p w:rsidR="00000000" w:rsidDel="00000000" w:rsidP="00000000" w:rsidRDefault="00000000" w:rsidRPr="00000000" w14:paraId="00000022">
      <w:pPr>
        <w:spacing w:after="240" w:before="240" w:lineRule="auto"/>
        <w:rPr/>
      </w:pPr>
      <w:r w:rsidDel="00000000" w:rsidR="00000000" w:rsidRPr="00000000">
        <w:rPr>
          <w:rtl w:val="0"/>
        </w:rPr>
        <w:t xml:space="preserve">Elle comprend :</w:t>
      </w:r>
    </w:p>
    <w:p w:rsidR="00000000" w:rsidDel="00000000" w:rsidP="00000000" w:rsidRDefault="00000000" w:rsidRPr="00000000" w14:paraId="00000023">
      <w:pPr>
        <w:numPr>
          <w:ilvl w:val="0"/>
          <w:numId w:val="1"/>
        </w:numPr>
        <w:spacing w:after="0" w:afterAutospacing="0" w:before="240" w:lineRule="auto"/>
        <w:ind w:left="720" w:hanging="360"/>
        <w:rPr>
          <w:u w:val="none"/>
        </w:rPr>
      </w:pPr>
      <w:r w:rsidDel="00000000" w:rsidR="00000000" w:rsidRPr="00000000">
        <w:rPr>
          <w:rtl w:val="0"/>
        </w:rPr>
        <w:t xml:space="preserve">Des principes généraux (IEEE Ethically Aligned Design, UNESCO Recommendation, Montréal Declaration),</w:t>
        <w:br w:type="textWrapping"/>
      </w:r>
    </w:p>
    <w:p w:rsidR="00000000" w:rsidDel="00000000" w:rsidP="00000000" w:rsidRDefault="00000000" w:rsidRPr="00000000" w14:paraId="00000024">
      <w:pPr>
        <w:numPr>
          <w:ilvl w:val="0"/>
          <w:numId w:val="1"/>
        </w:numPr>
        <w:spacing w:after="0" w:afterAutospacing="0" w:before="0" w:beforeAutospacing="0" w:lineRule="auto"/>
        <w:ind w:left="720" w:hanging="360"/>
        <w:rPr>
          <w:u w:val="none"/>
        </w:rPr>
      </w:pPr>
      <w:r w:rsidDel="00000000" w:rsidR="00000000" w:rsidRPr="00000000">
        <w:rPr>
          <w:rtl w:val="0"/>
        </w:rPr>
        <w:t xml:space="preserve">Des cadres gouvernementaux (UK Data Ethics Framework, Singapore Governance Principles, New Zealand Algorithm Charter),</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rPr>
          <w:u w:val="none"/>
        </w:rPr>
      </w:pPr>
      <w:r w:rsidDel="00000000" w:rsidR="00000000" w:rsidRPr="00000000">
        <w:rPr>
          <w:rtl w:val="0"/>
        </w:rPr>
        <w:t xml:space="preserve">Des rapports analytiques et recommandations d’experts (Oxford, Turing Institute, PWC, Montreal AI Ethics Institute),</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rPr>
          <w:u w:val="none"/>
        </w:rPr>
      </w:pPr>
      <w:r w:rsidDel="00000000" w:rsidR="00000000" w:rsidRPr="00000000">
        <w:rPr>
          <w:rtl w:val="0"/>
        </w:rPr>
        <w:t xml:space="preserve">Des codes déontologiques (ex. ACM Code of Ethics),</w:t>
        <w:br w:type="textWrapping"/>
      </w:r>
    </w:p>
    <w:p w:rsidR="00000000" w:rsidDel="00000000" w:rsidP="00000000" w:rsidRDefault="00000000" w:rsidRPr="00000000" w14:paraId="00000027">
      <w:pPr>
        <w:numPr>
          <w:ilvl w:val="0"/>
          <w:numId w:val="1"/>
        </w:numPr>
        <w:spacing w:after="240" w:before="0" w:beforeAutospacing="0" w:lineRule="auto"/>
        <w:ind w:left="720" w:hanging="360"/>
        <w:rPr>
          <w:u w:val="none"/>
        </w:rPr>
      </w:pPr>
      <w:r w:rsidDel="00000000" w:rsidR="00000000" w:rsidRPr="00000000">
        <w:rPr>
          <w:rtl w:val="0"/>
        </w:rPr>
        <w:t xml:space="preserve">Et des bonnes pratiques techniques et organisationnelles (ex. FBPML Best Practices).</w:t>
      </w:r>
    </w:p>
    <w:p w:rsidR="00000000" w:rsidDel="00000000" w:rsidP="00000000" w:rsidRDefault="00000000" w:rsidRPr="00000000" w14:paraId="00000028">
      <w:pPr>
        <w:spacing w:after="240" w:before="240" w:lineRule="auto"/>
        <w:rPr>
          <w:sz w:val="24"/>
          <w:szCs w:val="24"/>
        </w:rPr>
      </w:pPr>
      <w:r w:rsidDel="00000000" w:rsidR="00000000" w:rsidRPr="00000000">
        <w:rPr>
          <w:rtl w:val="0"/>
        </w:rPr>
        <w:t xml:space="preserve">Cette section est essentielle pour comprendre la vision normative mondiale sur l’IA responsable, en identifiant les valeurs clés comme la transparence, l’équité, la responsabilité, la durabilité ou encore les droits humains.</w:t>
      </w:r>
      <w:r w:rsidDel="00000000" w:rsidR="00000000" w:rsidRPr="00000000">
        <w:rPr>
          <w:rtl w:val="0"/>
        </w:rPr>
      </w:r>
    </w:p>
    <w:p w:rsidR="00000000" w:rsidDel="00000000" w:rsidP="00000000" w:rsidRDefault="00000000" w:rsidRPr="00000000" w14:paraId="0000002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Section </w:t>
      </w:r>
      <w:r w:rsidDel="00000000" w:rsidR="00000000" w:rsidRPr="00000000">
        <w:rPr>
          <w:b w:val="1"/>
          <w:sz w:val="24"/>
          <w:szCs w:val="24"/>
          <w:rtl w:val="0"/>
        </w:rPr>
        <w:t xml:space="preserve">Industry standards initiatives </w:t>
      </w:r>
      <w:r w:rsidDel="00000000" w:rsidR="00000000" w:rsidRPr="00000000">
        <w:rPr>
          <w:sz w:val="24"/>
          <w:szCs w:val="24"/>
          <w:rtl w:val="0"/>
        </w:rPr>
        <w:t xml:space="preserve">: 4</w:t>
      </w:r>
    </w:p>
    <w:p w:rsidR="00000000" w:rsidDel="00000000" w:rsidP="00000000" w:rsidRDefault="00000000" w:rsidRPr="00000000" w14:paraId="0000002B">
      <w:pPr>
        <w:rPr>
          <w:sz w:val="24"/>
          <w:szCs w:val="24"/>
        </w:rPr>
      </w:pPr>
      <w:r w:rsidDel="00000000" w:rsidR="00000000" w:rsidRPr="00000000">
        <w:rPr>
          <w:sz w:val="24"/>
          <w:szCs w:val="24"/>
          <w:rtl w:val="0"/>
        </w:rPr>
        <w:t xml:space="preserve">(idem)</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(pas “forcément” nécessaire pour les analyses statistiques) </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 Cette section est en lien direct avec les politiques publiques ou cadres normatifs de l’IA, car elle recense des normes industrielles et codes de conduite utilisés comme références réglementaires ou éthiques.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Cette section recense les principales normes professionnelles et standards industriels en matière d’éthique et de régulation de l’IA, établis par des organisations reconnues telles que l’IEEE, l’ISO, ou encore l’ACM. Ces initiatives définissent des principes généraux (transparence, justice, confidentialité, etc.) ainsi que des standards techniques ou éthiques pour guider les professionnels et les institutions dans la </w:t>
      </w:r>
      <w:r w:rsidDel="00000000" w:rsidR="00000000" w:rsidRPr="00000000">
        <w:rPr>
          <w:b w:val="1"/>
          <w:sz w:val="24"/>
          <w:szCs w:val="24"/>
          <w:rtl w:val="0"/>
        </w:rPr>
        <w:t xml:space="preserve">conception responsable</w:t>
      </w:r>
      <w:r w:rsidDel="00000000" w:rsidR="00000000" w:rsidRPr="00000000">
        <w:rPr>
          <w:sz w:val="24"/>
          <w:szCs w:val="24"/>
          <w:rtl w:val="0"/>
        </w:rPr>
        <w:t xml:space="preserve"> de systèmes d’intelligence artificielle.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Section </w:t>
      </w:r>
      <w:r w:rsidDel="00000000" w:rsidR="00000000" w:rsidRPr="00000000">
        <w:rPr>
          <w:b w:val="1"/>
          <w:sz w:val="24"/>
          <w:szCs w:val="24"/>
          <w:rtl w:val="0"/>
        </w:rPr>
        <w:t xml:space="preserve">Online Courses and Learning Resources </w:t>
      </w:r>
      <w:r w:rsidDel="00000000" w:rsidR="00000000" w:rsidRPr="00000000">
        <w:rPr>
          <w:sz w:val="24"/>
          <w:szCs w:val="24"/>
          <w:rtl w:val="0"/>
        </w:rPr>
        <w:t xml:space="preserve">: 6</w:t>
      </w:r>
    </w:p>
    <w:p w:rsidR="00000000" w:rsidDel="00000000" w:rsidP="00000000" w:rsidRDefault="00000000" w:rsidRPr="00000000" w14:paraId="00000032">
      <w:pPr>
        <w:rPr>
          <w:sz w:val="24"/>
          <w:szCs w:val="24"/>
        </w:rPr>
      </w:pPr>
      <w:r w:rsidDel="00000000" w:rsidR="00000000" w:rsidRPr="00000000">
        <w:rPr>
          <w:sz w:val="24"/>
          <w:szCs w:val="24"/>
          <w:rtl w:val="0"/>
        </w:rPr>
        <w:t xml:space="preserve">(idem) : </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PAS POUR LES ANALYSES STATISTIQUES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Bien que ce ne soit pas directement des politiques publiques, cette section peut être utile pour documenter les cadres conceptuels et pédagogiques qui influencent les politiques. Elle peut aussi servir à visualiser les acteurs éducatifs et leurs axes éthiques.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Cette section rassemble une sélection de cours en ligne gratuits abordant l’éthique, la régulation et la sécurité de l’IA. Ces ressources, proposées par des universités, plateformes ou instituts de recherche, traitent des enjeux de confidentialité, de biais algorithmique, de justice sociale et de régulation éthique, fournissant une base conceptuelle pour une IA responsable.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Total des données exploitable : 57 (sachant qu’on va en supprimer certaines non intéressantes ou avec des difficultées)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Bien que cette source présente une diversité intéressante d’initiatives en matière de régulation et d’éthique de l’IA, son exploitation s’est révélée trop coûteuse en temps et complexe à intégrer dans notre analyse. La structure des données est hétérogène, sans format unifié ni métadonnées, et repose sur une multitude de liens externes et sous-liens, parfois profonds ou indirects, rendant leur traitement manuel fastidieux. Par ailleurs, la variété des langues employées (chinois, allemand, japonais, etc.) complexifie encore davantage l’exploitation cohérente et homogène des informations, alors que toutes les autres sources retenues pour le projet sont en anglais. Compte tenu de ces obstacles majeurs et de la contrainte temporelle (2 mois), nous avons pris la décision de ne pas retenir cette source pour les analyses quantitatives du tableau de bord.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