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bffd7e313d030be7a591a220545e78a3f0e84f"/>
    <w:p>
      <w:pPr>
        <w:pStyle w:val="Heading1"/>
      </w:pPr>
      <w:r>
        <w:t xml:space="preserve">Kennzahlen 2025 – Auszug Controlling-Bericht</w:t>
      </w:r>
    </w:p>
    <w:p>
      <w:pPr>
        <w:pStyle w:val="FirstParagraph"/>
      </w:pPr>
      <w:r>
        <w:rPr>
          <w:iCs/>
          <w:i/>
        </w:rPr>
        <w:t xml:space="preserve">Ersteller: Felix Arnold, Controlling · Stand 31.01.2026 · vorläufig, nicht testiert</w:t>
      </w:r>
    </w:p>
    <w:p>
      <w:pPr>
        <w:pStyle w:val="BodyText"/>
      </w:pPr>
      <w:r>
        <w:drawing>
          <wp:inline>
            <wp:extent cx="5969000" cy="183049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Kennzahlen_2023-202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830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Umsatz Gruppe (Mio.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EBIT-Marge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Liefertermintreue (Bestätigter Termin)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Durchlaufzeit Standardgetriebe (AT)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Lagerbestand (Mio.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Lagerumschlag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Reklamationsquote (ppm)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IT-Kosten in % vom Umsatz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Mitarbeitende (FTE, Jahresdurchschnitt)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* Hinweis Controlling: 82,7 Mio. € ohne Umsätze der KVA Antriebe AG (Schweiz) und nach Eliminierung konzerninterner Lieferungen Pilsen → Singen. Die in der Imagebroschüre genannten 86,4 Mio. € sind die Summe der Einzelabschlüsse.</w:t>
      </w:r>
    </w:p>
    <w:bookmarkStart w:id="23" w:name="anmerkungen-controlling"/>
    <w:p>
      <w:pPr>
        <w:pStyle w:val="Heading2"/>
      </w:pPr>
      <w:r>
        <w:t xml:space="preserve">Anmerkungen Controlling</w:t>
      </w:r>
    </w:p>
    <w:p>
      <w:pPr>
        <w:numPr>
          <w:ilvl w:val="0"/>
          <w:numId w:val="1001"/>
        </w:numPr>
        <w:pStyle w:val="Compact"/>
      </w:pPr>
      <w:r>
        <w:t xml:space="preserve">Liefertermintreue wird aus KVA-WARE berechnet: Vergleich</w:t>
      </w:r>
      <w:r>
        <w:t xml:space="preserve"> </w:t>
      </w:r>
      <w:r>
        <w:rPr>
          <w:bCs/>
          <w:b/>
        </w:rPr>
        <w:t xml:space="preserve">letzter</w:t>
      </w:r>
      <w:r>
        <w:t xml:space="preserve"> </w:t>
      </w:r>
      <w:r>
        <w:t xml:space="preserve">bestätigter Termin vs. Lieferdatum. Bei Messung gegen den</w:t>
      </w:r>
      <w:r>
        <w:t xml:space="preserve"> </w:t>
      </w:r>
      <w:r>
        <w:rPr>
          <w:bCs/>
          <w:b/>
        </w:rPr>
        <w:t xml:space="preserve">ersten</w:t>
      </w:r>
      <w:r>
        <w:t xml:space="preserve"> </w:t>
      </w:r>
      <w:r>
        <w:t xml:space="preserve">bestätigten Termin läge der Wert 2025 bei ca. 58 %.</w:t>
      </w:r>
    </w:p>
    <w:p>
      <w:pPr>
        <w:numPr>
          <w:ilvl w:val="0"/>
          <w:numId w:val="1001"/>
        </w:numPr>
        <w:pStyle w:val="Compact"/>
      </w:pPr>
      <w:r>
        <w:t xml:space="preserve">Lagerbestand: ca. 3,1 Mio. € sind vermutlich Ladenhüter (&gt; 24 Monate ohne Bewegung). Abwertung bisher nicht vollständig vorgenommen.</w:t>
      </w:r>
    </w:p>
    <w:p>
      <w:pPr>
        <w:numPr>
          <w:ilvl w:val="0"/>
          <w:numId w:val="1001"/>
        </w:numPr>
        <w:pStyle w:val="Compact"/>
      </w:pPr>
      <w:r>
        <w:t xml:space="preserve">Nachkalkulation Sonderantriebe: nur für 31 von 94 abgeschlossenen Projekten 2025 durchgeführt (Excel). Davon 13 mit negativem Deckungsbeitrag.</w:t>
      </w:r>
    </w:p>
    <w:p>
      <w:pPr>
        <w:numPr>
          <w:ilvl w:val="0"/>
          <w:numId w:val="1001"/>
        </w:numPr>
        <w:pStyle w:val="Compact"/>
      </w:pPr>
      <w:r>
        <w:t xml:space="preserve">IT-Kosten enthalten</w:t>
      </w:r>
      <w:r>
        <w:t xml:space="preserve"> </w:t>
      </w:r>
      <w:r>
        <w:rPr>
          <w:bCs/>
          <w:b/>
        </w:rPr>
        <w:t xml:space="preserve">nicht</w:t>
      </w:r>
      <w:r>
        <w:t xml:space="preserve"> </w:t>
      </w:r>
      <w:r>
        <w:t xml:space="preserve">Personalkosten für Key User und Excel-Workarounds in den Fachbereichen.</w:t>
      </w:r>
    </w:p>
    <w:p>
      <w:pPr>
        <w:numPr>
          <w:ilvl w:val="0"/>
          <w:numId w:val="1001"/>
        </w:numPr>
        <w:pStyle w:val="Compact"/>
      </w:pPr>
      <w:r>
        <w:t xml:space="preserve">Konsolidierung Pilsen und Schweiz erfolgt manuell in Excel; Dauer Monatsabschluss Gruppe: 14 Arbeitstage.</w:t>
      </w:r>
    </w:p>
    <w:bookmarkEnd w:id="23"/>
    <w:bookmarkEnd w:id="24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