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projektauftrag-erp-2028-auswahl"/>
    <w:p>
      <w:pPr>
        <w:pStyle w:val="Heading1"/>
      </w:pPr>
      <w:r>
        <w:t xml:space="preserve">Projektauftrag „ERP 2028 – Auswahl”</w:t>
      </w:r>
    </w:p>
    <w:p>
      <w:pPr>
        <w:pStyle w:val="FirstParagraph"/>
      </w:pPr>
      <w:r>
        <w:rPr>
          <w:iCs/>
          <w:i/>
        </w:rPr>
        <w:t xml:space="preserve">Version 1.2 · 14.11.2025 · Freigegeben durch Geschäftsführung (Unterschrift Dr. Kessler; Unterschrift W. Vogt fehlt – „nach Rücksprache nachreichen”)</w:t>
      </w:r>
    </w:p>
    <w:p>
      <w:r>
        <w:pict>
          <v:rect style="width:0;height:1.5pt" o:hralign="center" o:hrstd="t" o:hr="t"/>
        </w:pict>
      </w:r>
    </w:p>
    <w:bookmarkStart w:id="20" w:name="projektname"/>
    <w:p>
      <w:pPr>
        <w:pStyle w:val="Heading2"/>
      </w:pPr>
      <w:r>
        <w:t xml:space="preserve">1. Projektname</w:t>
      </w:r>
    </w:p>
    <w:p>
      <w:pPr>
        <w:pStyle w:val="FirstParagraph"/>
      </w:pPr>
      <w:r>
        <w:t xml:space="preserve">ERP 2028 – Auswahl eines neuen ERP-Systems für die KVA-Gruppe</w:t>
      </w:r>
    </w:p>
    <w:bookmarkEnd w:id="20"/>
    <w:bookmarkStart w:id="21" w:name="ausgangssituation"/>
    <w:p>
      <w:pPr>
        <w:pStyle w:val="Heading2"/>
      </w:pPr>
      <w:r>
        <w:t xml:space="preserve">2. Ausgangssituation</w:t>
      </w:r>
    </w:p>
    <w:p>
      <w:pPr>
        <w:numPr>
          <w:ilvl w:val="0"/>
          <w:numId w:val="1001"/>
        </w:numPr>
        <w:pStyle w:val="Compact"/>
      </w:pPr>
      <w:r>
        <w:t xml:space="preserve">Das zentrale ERP „KVA-WARE” ist eine Eigenentwicklung auf IBM i (AS/400) aus dem Jahr 1994.</w:t>
      </w:r>
    </w:p>
    <w:p>
      <w:pPr>
        <w:numPr>
          <w:ilvl w:val="0"/>
          <w:numId w:val="1001"/>
        </w:numPr>
        <w:pStyle w:val="Compact"/>
      </w:pPr>
      <w:r>
        <w:t xml:space="preserve">Der einzige Entwickler mit vollständigem Systemwissen (K. Brugger) tritt am</w:t>
      </w:r>
      <w:r>
        <w:t xml:space="preserve"> </w:t>
      </w:r>
      <w:r>
        <w:rPr>
          <w:bCs/>
          <w:b/>
        </w:rPr>
        <w:t xml:space="preserve">31.12.2027</w:t>
      </w:r>
      <w:r>
        <w:t xml:space="preserve"> </w:t>
      </w:r>
      <w:r>
        <w:t xml:space="preserve">in den Ruhestand.</w:t>
      </w:r>
    </w:p>
    <w:p>
      <w:pPr>
        <w:numPr>
          <w:ilvl w:val="0"/>
          <w:numId w:val="1001"/>
        </w:numPr>
        <w:pStyle w:val="Compact"/>
      </w:pPr>
      <w:r>
        <w:t xml:space="preserve">Werk Pilsen nutzt Microsoft Dynamics NAV 2013 R2 – seit 2023 ohne Herstellersupport.</w:t>
      </w:r>
    </w:p>
    <w:p>
      <w:pPr>
        <w:numPr>
          <w:ilvl w:val="0"/>
          <w:numId w:val="1001"/>
        </w:numPr>
        <w:pStyle w:val="Compact"/>
      </w:pPr>
      <w:r>
        <w:t xml:space="preserve">Zahlreiche Insellösungen und Excel-Listen; Medienbrüche zwischen Vertrieb, Konstruktion, Produktion.</w:t>
      </w:r>
    </w:p>
    <w:p>
      <w:pPr>
        <w:numPr>
          <w:ilvl w:val="0"/>
          <w:numId w:val="1001"/>
        </w:numPr>
        <w:pStyle w:val="Compact"/>
      </w:pPr>
      <w:r>
        <w:t xml:space="preserve">Ein früheres ERP-Projekt (2015–2016) wurde abgebrochen.</w:t>
      </w:r>
    </w:p>
    <w:bookmarkEnd w:id="21"/>
    <w:bookmarkStart w:id="22" w:name="projektziele"/>
    <w:p>
      <w:pPr>
        <w:pStyle w:val="Heading2"/>
      </w:pPr>
      <w:r>
        <w:t xml:space="preserve">3. Projektziele</w:t>
      </w:r>
    </w:p>
    <w:p>
      <w:pPr>
        <w:numPr>
          <w:ilvl w:val="0"/>
          <w:numId w:val="1002"/>
        </w:numPr>
        <w:pStyle w:val="Compact"/>
      </w:pPr>
      <w:r>
        <w:t xml:space="preserve">Auswahl eines zukunftssicheren Standard-ERP-Systems inkl. Implementierungspartner.</w:t>
      </w:r>
    </w:p>
    <w:p>
      <w:pPr>
        <w:numPr>
          <w:ilvl w:val="0"/>
          <w:numId w:val="1002"/>
        </w:numPr>
        <w:pStyle w:val="Compact"/>
      </w:pPr>
      <w:r>
        <w:t xml:space="preserve">Ablösung KVA-WARE und NAV 2013.</w:t>
      </w:r>
    </w:p>
    <w:p>
      <w:pPr>
        <w:numPr>
          <w:ilvl w:val="0"/>
          <w:numId w:val="1002"/>
        </w:numPr>
        <w:pStyle w:val="Compact"/>
      </w:pPr>
      <w:r>
        <w:t xml:space="preserve">Standardisierung der Prozesse –</w:t>
      </w:r>
      <w:r>
        <w:t xml:space="preserve"> </w:t>
      </w:r>
      <w:r>
        <w:rPr>
          <w:bCs/>
          <w:b/>
        </w:rPr>
        <w:t xml:space="preserve">„so viel Standard wie möglich, so wenig Anpassung wie nötig”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Unterstützung der Strategie 2030 (Liefertreue, Durchlaufzeit, Service).</w:t>
      </w:r>
    </w:p>
    <w:p>
      <w:pPr>
        <w:numPr>
          <w:ilvl w:val="0"/>
          <w:numId w:val="1002"/>
        </w:numPr>
        <w:pStyle w:val="Compact"/>
      </w:pPr>
      <w:r>
        <w:t xml:space="preserve">Go-live Singen:</w:t>
      </w:r>
      <w:r>
        <w:t xml:space="preserve"> </w:t>
      </w:r>
      <w:r>
        <w:rPr>
          <w:bCs/>
          <w:b/>
        </w:rPr>
        <w:t xml:space="preserve">01.01.2028</w:t>
      </w:r>
      <w:r>
        <w:t xml:space="preserve">.</w:t>
      </w:r>
    </w:p>
    <w:bookmarkEnd w:id="22"/>
    <w:bookmarkStart w:id="23" w:name="umfang-scope"/>
    <w:p>
      <w:pPr>
        <w:pStyle w:val="Heading2"/>
      </w:pPr>
      <w:r>
        <w:t xml:space="preserve">4. Umfang (Scope)</w:t>
      </w:r>
    </w:p>
    <w:p>
      <w:pPr>
        <w:pStyle w:val="FirstParagraph"/>
      </w:pPr>
      <w:r>
        <w:rPr>
          <w:bCs/>
          <w:b/>
        </w:rPr>
        <w:t xml:space="preserve">Im Scope</w:t>
      </w:r>
      <w:r>
        <w:t xml:space="preserve"> </w:t>
      </w:r>
      <w:r>
        <w:t xml:space="preserve">- Finanzbuchhaltung, Anlagenbuchhaltung, Controlling/Kostenrechnung</w:t>
      </w:r>
      <w:r>
        <w:t xml:space="preserve"> </w:t>
      </w:r>
      <w:r>
        <w:t xml:space="preserve">- Vertrieb inkl. Angebotswesen, Produktkonfiguration, Auftragsabwicklung</w:t>
      </w:r>
      <w:r>
        <w:t xml:space="preserve"> </w:t>
      </w:r>
      <w:r>
        <w:t xml:space="preserve">- Einkauf, Materialwirtschaft, Lager</w:t>
      </w:r>
      <w:r>
        <w:t xml:space="preserve"> </w:t>
      </w:r>
      <w:r>
        <w:t xml:space="preserve">- Produktionsplanung und -steuerung (PPS), Kapazitätsplanung</w:t>
      </w:r>
      <w:r>
        <w:t xml:space="preserve"> </w:t>
      </w:r>
      <w:r>
        <w:t xml:space="preserve">- Projektabwicklung Sonderantriebe</w:t>
      </w:r>
      <w:r>
        <w:t xml:space="preserve"> </w:t>
      </w:r>
      <w:r>
        <w:t xml:space="preserve">- Service/Instandsetzung</w:t>
      </w:r>
      <w:r>
        <w:t xml:space="preserve"> </w:t>
      </w:r>
      <w:r>
        <w:t xml:space="preserve">- Qualitätsmanagement (Prüfplanung, Reklamationen)</w:t>
      </w:r>
      <w:r>
        <w:t xml:space="preserve"> </w:t>
      </w:r>
      <w:r>
        <w:t xml:space="preserve">- Werk Pilsen (</w:t>
      </w:r>
      <w:r>
        <w:rPr>
          <w:bCs/>
          <w:b/>
        </w:rPr>
        <w:t xml:space="preserve">Phase 2</w:t>
      </w:r>
      <w:r>
        <w:t xml:space="preserve">, Go-live spätestens 2029)</w:t>
      </w:r>
      <w:r>
        <w:t xml:space="preserve"> </w:t>
      </w:r>
      <w:r>
        <w:t xml:space="preserve">- KVA Antriebe AG Schweiz (Phase 2)</w:t>
      </w:r>
    </w:p>
    <w:p>
      <w:pPr>
        <w:pStyle w:val="BodyText"/>
      </w:pPr>
      <w:r>
        <w:rPr>
          <w:bCs/>
          <w:b/>
        </w:rPr>
        <w:t xml:space="preserve">Nicht im Scope</w:t>
      </w:r>
      <w:r>
        <w:t xml:space="preserve"> </w:t>
      </w:r>
      <w:r>
        <w:t xml:space="preserve">- Lohn- und Gehaltsabrechnung (bleibt DATEV/Personio)</w:t>
      </w:r>
      <w:r>
        <w:t xml:space="preserve"> </w:t>
      </w:r>
      <w:r>
        <w:t xml:space="preserve">- CAD/PDM (bleibt SolidWorks PDM)</w:t>
      </w:r>
      <w:r>
        <w:t xml:space="preserve"> </w:t>
      </w:r>
      <w:r>
        <w:t xml:space="preserve">- CRM – Entscheidung, ob Salesforce bleibt,</w:t>
      </w:r>
      <w:r>
        <w:t xml:space="preserve"> </w:t>
      </w:r>
      <w:r>
        <w:rPr>
          <w:bCs/>
          <w:b/>
        </w:rPr>
        <w:t xml:space="preserve">offen</w:t>
      </w:r>
      <w:r>
        <w:t xml:space="preserve"> </w:t>
      </w:r>
      <w:r>
        <w:t xml:space="preserve">- MES/BDE – wird „in einem Folgeprojekt” betrachtet</w:t>
      </w:r>
    </w:p>
    <w:bookmarkEnd w:id="23"/>
    <w:bookmarkStart w:id="24" w:name="budget"/>
    <w:p>
      <w:pPr>
        <w:pStyle w:val="Heading2"/>
      </w:pPr>
      <w:r>
        <w:t xml:space="preserve">5. Budget</w:t>
      </w:r>
    </w:p>
    <w:p>
      <w:pPr>
        <w:numPr>
          <w:ilvl w:val="0"/>
          <w:numId w:val="1003"/>
        </w:numPr>
        <w:pStyle w:val="Compact"/>
      </w:pPr>
      <w:r>
        <w:t xml:space="preserve">Gesamtbudget Auswahl + Einführung (inkl. Lizenzen/Subskription 3 Jahre, Beratung, interne Freistellungen):</w:t>
      </w:r>
      <w:r>
        <w:t xml:space="preserve"> </w:t>
      </w:r>
      <w:r>
        <w:rPr>
          <w:bCs/>
          <w:b/>
        </w:rPr>
        <w:t xml:space="preserve">1,2 Mio. €</w:t>
      </w:r>
    </w:p>
    <w:p>
      <w:pPr>
        <w:numPr>
          <w:ilvl w:val="0"/>
          <w:numId w:val="1003"/>
        </w:numPr>
        <w:pStyle w:val="Compact"/>
      </w:pPr>
      <w:r>
        <w:t xml:space="preserve">Budget Auswahlphase (externe Unterstützung): 60 T€</w:t>
      </w:r>
    </w:p>
    <w:bookmarkEnd w:id="24"/>
    <w:bookmarkStart w:id="25" w:name="rahmenbedingungen"/>
    <w:p>
      <w:pPr>
        <w:pStyle w:val="Heading2"/>
      </w:pPr>
      <w:r>
        <w:t xml:space="preserve">6. Rahmenbedingungen</w:t>
      </w:r>
    </w:p>
    <w:p>
      <w:pPr>
        <w:numPr>
          <w:ilvl w:val="0"/>
          <w:numId w:val="1004"/>
        </w:numPr>
        <w:pStyle w:val="Compact"/>
      </w:pPr>
      <w:r>
        <w:t xml:space="preserve">ca.</w:t>
      </w:r>
      <w:r>
        <w:t xml:space="preserve"> </w:t>
      </w:r>
      <w:r>
        <w:rPr>
          <w:bCs/>
          <w:b/>
        </w:rPr>
        <w:t xml:space="preserve">180 Named User</w:t>
      </w:r>
      <w:r>
        <w:t xml:space="preserve"> </w:t>
      </w:r>
      <w:r>
        <w:t xml:space="preserve">(Singen 140, Pilsen 35, Schweiz 5)</w:t>
      </w:r>
    </w:p>
    <w:p>
      <w:pPr>
        <w:numPr>
          <w:ilvl w:val="0"/>
          <w:numId w:val="1004"/>
        </w:numPr>
        <w:pStyle w:val="Compact"/>
      </w:pPr>
      <w:r>
        <w:t xml:space="preserve">Betrieb: bevorzugt Cloud (SaaS) mit Rechenzentrum in der EU</w:t>
      </w:r>
    </w:p>
    <w:p>
      <w:pPr>
        <w:numPr>
          <w:ilvl w:val="0"/>
          <w:numId w:val="1004"/>
        </w:numPr>
        <w:pStyle w:val="Compact"/>
      </w:pPr>
      <w:r>
        <w:t xml:space="preserve">Sprachen: Deutsch, Englisch, Tschechisch</w:t>
      </w:r>
    </w:p>
    <w:p>
      <w:pPr>
        <w:numPr>
          <w:ilvl w:val="0"/>
          <w:numId w:val="1004"/>
        </w:numPr>
        <w:pStyle w:val="Compact"/>
      </w:pPr>
      <w:r>
        <w:t xml:space="preserve">Währungen: EUR, CZK, CHF, USD</w:t>
      </w:r>
    </w:p>
    <w:p>
      <w:pPr>
        <w:numPr>
          <w:ilvl w:val="0"/>
          <w:numId w:val="1004"/>
        </w:numPr>
        <w:pStyle w:val="Compact"/>
      </w:pPr>
      <w:r>
        <w:t xml:space="preserve">Einbindung Betriebsrat gem. § 87 Abs. 1 Nr. 6 BetrVG</w:t>
      </w:r>
    </w:p>
    <w:bookmarkEnd w:id="25"/>
    <w:bookmarkStart w:id="26" w:name="projektorganisation"/>
    <w:p>
      <w:pPr>
        <w:pStyle w:val="Heading2"/>
      </w:pPr>
      <w:r>
        <w:t xml:space="preserve">7. Projektorganisation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Auftraggeberin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Martina Kessler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Lenkungskreis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Kessler, W. Vogt, S. Haller, M. Brenner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Projektleitung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Lisa Hartmann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Kernteam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User der Fachbereiche (je 20 % Freistellung)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Externe Unterstützung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noch zu beauftragen</w:t>
            </w:r>
          </w:p>
        </w:tc>
      </w:tr>
    </w:tbl>
    <w:bookmarkEnd w:id="26"/>
    <w:bookmarkStart w:id="27" w:name="meilensteine"/>
    <w:p>
      <w:pPr>
        <w:pStyle w:val="Heading2"/>
      </w:pPr>
      <w:r>
        <w:t xml:space="preserve">8. Meilensteine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Meilenstein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Anforderungsaufnahme abgeschlossen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31.03.2026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Longlist / Shortlist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30.04.2026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Herstellerpräsentationen (Drehbuch-Demos)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Juni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Entscheidung &amp; Vertrag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30.09.2026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Projektstart Einführung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01.10.2026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Go-live Singen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01.01.2028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Go-live Pilsen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2029</w:t>
            </w:r>
          </w:p>
        </w:tc>
      </w:tr>
    </w:tbl>
    <w:bookmarkEnd w:id="27"/>
    <w:bookmarkStart w:id="28" w:name="risiken-aus-kick-off"/>
    <w:p>
      <w:pPr>
        <w:pStyle w:val="Heading2"/>
      </w:pPr>
      <w:r>
        <w:t xml:space="preserve">9. Risiken (aus Kick-off)</w:t>
      </w:r>
    </w:p>
    <w:p>
      <w:pPr>
        <w:numPr>
          <w:ilvl w:val="0"/>
          <w:numId w:val="1005"/>
        </w:numPr>
        <w:pStyle w:val="Compact"/>
      </w:pPr>
      <w:r>
        <w:t xml:space="preserve">Ressourcenengpass Key User (Tagesgeschäft, Auftragsspitze 2026)</w:t>
      </w:r>
    </w:p>
    <w:p>
      <w:pPr>
        <w:numPr>
          <w:ilvl w:val="0"/>
          <w:numId w:val="1005"/>
        </w:numPr>
        <w:pStyle w:val="Compact"/>
      </w:pPr>
      <w:r>
        <w:t xml:space="preserve">Wissensabfluss K. Brugger</w:t>
      </w:r>
    </w:p>
    <w:p>
      <w:pPr>
        <w:numPr>
          <w:ilvl w:val="0"/>
          <w:numId w:val="1005"/>
        </w:numPr>
        <w:pStyle w:val="Compact"/>
      </w:pPr>
      <w:r>
        <w:t xml:space="preserve">Akzeptanz nach gescheitertem Projekt 2016</w:t>
      </w:r>
    </w:p>
    <w:p>
      <w:pPr>
        <w:numPr>
          <w:ilvl w:val="0"/>
          <w:numId w:val="1005"/>
        </w:numPr>
        <w:pStyle w:val="Compact"/>
      </w:pPr>
      <w:r>
        <w:t xml:space="preserve">Datenqualität Artikelstamm / Stücklisten</w:t>
      </w:r>
    </w:p>
    <w:bookmarkEnd w:id="28"/>
    <w:bookmarkEnd w:id="29"/>
    <w:sectPr>
      <w:headerReference r:id="rId9" w:type="default"/>
      <w:footerReference r:id="rId10" w:type="default"/>
      <w:pgSz w:h="16838" w:w="11906"/>
      <w:pgMar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KVA · ERP 2028  ·  Seite </w:t>
    </w: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Kessler &amp; Vogt Antriebstechnik GmbH  ·  Singen  ·  INTERN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eastAsia="Arial" w:hAnsi="Arial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eastAsia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eastAsia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eastAsia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eastAsia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eastAsia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eastAsia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eastAsia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theme="majorBidi" w:eastAsia="Arial" w:eastAsiaTheme="majorEastAsia" w:hAnsi="Arial" w:hAnsiTheme="majorHAnsi"/>
      <w:b/>
      <w:bCs/>
      <w:color w:val="1F4E79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theme="majorBidi" w:eastAsia="Arial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theme="majorBidi" w:eastAsia="Arial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theme="majorBidi" w:eastAsia="Arial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eastAsia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eastAsia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6B4C3" w:sz="4" w:val="single"/>
        <w:left w:color="A6B4C3" w:sz="4" w:val="single"/>
        <w:bottom w:color="A6B4C3" w:sz="4" w:val="single"/>
        <w:right w:color="A6B4C3" w:sz="4" w:val="single"/>
        <w:insideH w:color="A6B4C3" w:sz="4" w:val="single"/>
        <w:insideV w:color="A6B4C3" w:sz="4" w:val="single"/>
      </w:tblBorders>
    </w:tblPr>
    <w:tblStylePr w:type="firstRow">
      <w:rPr>
        <w:b/>
        <w:color w:val="FFFFFF"/>
      </w:rPr>
      <w:tcPr>
        <w:shd w:color="auto" w:fill="1F4E7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Arial" w:hAnsi="Arial"/>
      <w:b/>
    </w:rPr>
  </w:style>
  <w:style w:customStyle="1" w:styleId="Definition" w:type="paragraph">
    <w:name w:val="Definition"/>
    <w:basedOn w:val="Normal"/>
    <w:rPr>
      <w:rFonts w:ascii="Arial" w:eastAsia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eastAsia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eastAsia="Arial" w:hAnsi="Arial"/>
    </w:rPr>
  </w:style>
  <w:style w:customStyle="1" w:styleId="ImageCaption" w:type="paragraph">
    <w:name w:val="Image Caption"/>
    <w:basedOn w:val="Caption"/>
    <w:rPr>
      <w:rFonts w:ascii="Arial" w:eastAsia="Arial" w:hAnsi="Arial"/>
    </w:rPr>
  </w:style>
  <w:style w:customStyle="1" w:styleId="Figure" w:type="paragraph">
    <w:name w:val="Figure"/>
    <w:basedOn w:val="Normal"/>
    <w:rPr>
      <w:rFonts w:ascii="Arial" w:eastAsia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eastAsia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asciiTheme="majorHAnsi" w:cstheme="majorBidi" w:eastAsia="Arial" w:eastAsiaTheme="majorEastAsia" w:hAnsi="Arial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2026-10-28T17:34:03Z</dcterms:created>
  <dcterms:modified xsi:type="dcterms:W3CDTF">2026-10-28T17:34:03Z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