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protokoll-kick-off-workshop-erp-2028"/>
    <w:p>
      <w:pPr>
        <w:pStyle w:val="Heading1"/>
      </w:pPr>
      <w:r>
        <w:t xml:space="preserve">Protokoll Kick-off-Workshop ERP 2028</w:t>
      </w:r>
    </w:p>
    <w:p>
      <w:pPr>
        <w:pStyle w:val="FirstParagraph"/>
      </w:pPr>
      <w:r>
        <w:rPr>
          <w:bCs/>
          <w:b/>
        </w:rPr>
        <w:t xml:space="preserve">Datum:</w:t>
      </w:r>
      <w:r>
        <w:t xml:space="preserve"> </w:t>
      </w:r>
      <w:r>
        <w:t xml:space="preserve">02.12.2025, 09:00–15:30 ·</w:t>
      </w:r>
      <w:r>
        <w:t xml:space="preserve"> </w:t>
      </w:r>
      <w:r>
        <w:rPr>
          <w:bCs/>
          <w:b/>
        </w:rPr>
        <w:t xml:space="preserve">Ort:</w:t>
      </w:r>
      <w:r>
        <w:t xml:space="preserve"> </w:t>
      </w:r>
      <w:r>
        <w:t xml:space="preserve">Besprechungsraum „Hohentwiel”, Singen</w:t>
      </w:r>
      <w:r>
        <w:t xml:space="preserve"> </w:t>
      </w:r>
      <w:r>
        <w:rPr>
          <w:bCs/>
          <w:b/>
        </w:rPr>
        <w:t xml:space="preserve">Teilnehmende:</w:t>
      </w:r>
      <w:r>
        <w:t xml:space="preserve"> </w:t>
      </w:r>
      <w:r>
        <w:t xml:space="preserve">Dr. Kessler (bis 11:00), Vogt (ab 10:30), Haller, Brenner, Hartmann, Moser, Petersen, Wiedmann, Lang, Frick, Hummel, Seitz, Rieger, Nováková (per Teams), Kolb (Gast, 13:00–14:00)</w:t>
      </w:r>
      <w:r>
        <w:t xml:space="preserve"> </w:t>
      </w:r>
      <w:r>
        <w:rPr>
          <w:bCs/>
          <w:b/>
        </w:rPr>
        <w:t xml:space="preserve">Protokoll:</w:t>
      </w:r>
      <w:r>
        <w:t xml:space="preserve"> </w:t>
      </w:r>
      <w:r>
        <w:t xml:space="preserve">L. Hartmann</w:t>
      </w:r>
    </w:p>
    <w:p>
      <w:r>
        <w:pict>
          <v:rect style="width:0;height:1.5pt" o:hralign="center" o:hrstd="t" o:hr="t"/>
        </w:pict>
      </w:r>
    </w:p>
    <w:bookmarkStart w:id="20" w:name="top-1-begrüßung-ziele-dr.-kessler"/>
    <w:p>
      <w:pPr>
        <w:pStyle w:val="Heading2"/>
      </w:pPr>
      <w:r>
        <w:t xml:space="preserve">TOP 1 – Begrüßung &amp; Ziele (Dr. Kessler)</w:t>
      </w:r>
    </w:p>
    <w:p>
      <w:pPr>
        <w:numPr>
          <w:ilvl w:val="0"/>
          <w:numId w:val="1001"/>
        </w:numPr>
        <w:pStyle w:val="Compact"/>
      </w:pPr>
      <w:r>
        <w:t xml:space="preserve">ERP ist „das wichtigste Digitalprojekt der nächsten 10 Jahre”.</w:t>
      </w:r>
    </w:p>
    <w:p>
      <w:pPr>
        <w:numPr>
          <w:ilvl w:val="0"/>
          <w:numId w:val="1001"/>
        </w:numPr>
        <w:pStyle w:val="Compact"/>
      </w:pPr>
      <w:r>
        <w:t xml:space="preserve">Erwartung: Standardsoftware, keine Eigenentwicklung mehr. „Wir passen uns dem Standard an, nicht umgekehrt.”</w:t>
      </w:r>
    </w:p>
    <w:p>
      <w:pPr>
        <w:numPr>
          <w:ilvl w:val="0"/>
          <w:numId w:val="1001"/>
        </w:numPr>
        <w:pStyle w:val="Compact"/>
      </w:pPr>
      <w:r>
        <w:t xml:space="preserve">Budget sei „gesetzt”, Termin 01.01.2028 „nicht verhandelbar” wegen Ruhestand Brugger.</w:t>
      </w:r>
    </w:p>
    <w:bookmarkEnd w:id="20"/>
    <w:bookmarkStart w:id="21" w:name="top-2-rückblick-projekt-2016-brenner"/>
    <w:p>
      <w:pPr>
        <w:pStyle w:val="Heading2"/>
      </w:pPr>
      <w:r>
        <w:t xml:space="preserve">TOP 2 – Rückblick Projekt 2016 (Brenner)</w:t>
      </w:r>
    </w:p>
    <w:p>
      <w:pPr>
        <w:numPr>
          <w:ilvl w:val="0"/>
          <w:numId w:val="1002"/>
        </w:numPr>
        <w:pStyle w:val="Compact"/>
      </w:pPr>
      <w:r>
        <w:t xml:space="preserve">Kurzer Rückblick, siehe separates Dokument „ERP-Historie”.</w:t>
      </w:r>
    </w:p>
    <w:p>
      <w:pPr>
        <w:numPr>
          <w:ilvl w:val="0"/>
          <w:numId w:val="1002"/>
        </w:numPr>
        <w:pStyle w:val="Compact"/>
      </w:pPr>
      <w:r>
        <w:t xml:space="preserve">Diskussion wurde emotional. Hr. Vogt (ab 10:30 anwesend): Projekt sei „an den Beratern gescheitert, nicht an uns”. Fr. Lang widerspricht: „Wir hatten damals keine Zeit, und keiner wollte sich festlegen.”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Vereinbart:</w:t>
      </w:r>
      <w:r>
        <w:t xml:space="preserve"> </w:t>
      </w:r>
      <w:r>
        <w:t xml:space="preserve">Lessons Learned werden separat aufgearbeitet. (→ Stand 02/2026: noch nicht erfolgt)</w:t>
      </w:r>
    </w:p>
    <w:bookmarkEnd w:id="21"/>
    <w:bookmarkStart w:id="22" w:name="Xbb61aa1f5eed73c87a550b55b238d51aa97be4b"/>
    <w:p>
      <w:pPr>
        <w:pStyle w:val="Heading2"/>
      </w:pPr>
      <w:r>
        <w:t xml:space="preserve">TOP 3 – Pain Points je Bereich (Kartenabfrage)</w:t>
      </w:r>
    </w:p>
    <w:p>
      <w:pPr>
        <w:pStyle w:val="FirstParagraph"/>
      </w:pPr>
      <w:r>
        <w:t xml:space="preserve">Top-Nennungen (Anzahl Karten):</w:t>
      </w:r>
      <w:r>
        <w:t xml:space="preserve"> </w:t>
      </w:r>
      <w:r>
        <w:t xml:space="preserve">- Keine Transparenz über Auftragsstatus / Liefertermin (9)</w:t>
      </w:r>
      <w:r>
        <w:t xml:space="preserve"> </w:t>
      </w:r>
      <w:r>
        <w:t xml:space="preserve">- Doppelerfassung Salesforce ↔ KVA-WARE (7)</w:t>
      </w:r>
      <w:r>
        <w:t xml:space="preserve"> </w:t>
      </w:r>
      <w:r>
        <w:t xml:space="preserve">- Stücklisten Konstruktion ↔ Fertigung passen nicht (7)</w:t>
      </w:r>
      <w:r>
        <w:t xml:space="preserve"> </w:t>
      </w:r>
      <w:r>
        <w:t xml:space="preserve">- Excel für Kapazitätsplanung (6)</w:t>
      </w:r>
      <w:r>
        <w:t xml:space="preserve"> </w:t>
      </w:r>
      <w:r>
        <w:t xml:space="preserve">- Kein Überblick Lagerbestand Pilsen aus Singen (5)</w:t>
      </w:r>
      <w:r>
        <w:t xml:space="preserve"> </w:t>
      </w:r>
      <w:r>
        <w:t xml:space="preserve">- Nachkalkulation fehlt (5)</w:t>
      </w:r>
      <w:r>
        <w:t xml:space="preserve"> </w:t>
      </w:r>
      <w:r>
        <w:t xml:space="preserve">- Seriennummern / Kundenanlagen nicht nachvollziehbar (4)</w:t>
      </w:r>
      <w:r>
        <w:t xml:space="preserve"> </w:t>
      </w:r>
      <w:r>
        <w:t xml:space="preserve">- Monatsabschluss dauert zu lange (4)</w:t>
      </w:r>
      <w:r>
        <w:t xml:space="preserve"> </w:t>
      </w:r>
      <w:r>
        <w:t xml:space="preserve">- Eingangsrechnungen auf Papier (3)</w:t>
      </w:r>
      <w:r>
        <w:t xml:space="preserve"> </w:t>
      </w:r>
      <w:r>
        <w:t xml:space="preserve">- Auswertungen nur über Hr. Brugger möglich (3)</w:t>
      </w:r>
      <w:r>
        <w:t xml:space="preserve"> </w:t>
      </w:r>
      <w:r>
        <w:t xml:space="preserve">- Englische/tschechische Belege fehlerhaft (2)</w:t>
      </w:r>
    </w:p>
    <w:bookmarkEnd w:id="22"/>
    <w:bookmarkStart w:id="23" w:name="top-4-betriebsmodell-diskussion"/>
    <w:p>
      <w:pPr>
        <w:pStyle w:val="Heading2"/>
      </w:pPr>
      <w:r>
        <w:t xml:space="preserve">TOP 4 – Betriebsmodell (Diskussion)</w:t>
      </w:r>
    </w:p>
    <w:p>
      <w:pPr>
        <w:numPr>
          <w:ilvl w:val="0"/>
          <w:numId w:val="1003"/>
        </w:numPr>
        <w:pStyle w:val="Compact"/>
      </w:pPr>
      <w:r>
        <w:t xml:space="preserve">Fr. Haller: klare Präferenz SaaS – „keine eigenen Server mehr, kein Release-Stau”.</w:t>
      </w:r>
    </w:p>
    <w:p>
      <w:pPr>
        <w:numPr>
          <w:ilvl w:val="0"/>
          <w:numId w:val="1003"/>
        </w:numPr>
        <w:pStyle w:val="Compact"/>
      </w:pPr>
      <w:r>
        <w:t xml:space="preserve">Hr. Brenner: Bedenken wegen Wehrtechnik-Kunden (Geheimschutz?), Abhängigkeit US-Anbieter, Internetausfall Singen (2 Ausfälle 2025, je &gt; 4 h). Bevorzugt Private Cloud bei deutschem RZ-Partner oder On-Prem.</w:t>
      </w:r>
    </w:p>
    <w:p>
      <w:pPr>
        <w:numPr>
          <w:ilvl w:val="0"/>
          <w:numId w:val="1003"/>
        </w:numPr>
        <w:pStyle w:val="Compact"/>
      </w:pPr>
      <w:r>
        <w:t xml:space="preserve">Hr. Vogt: „Die Produktion muss auch laufen, wenn das Internet weg ist.”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Ergebnis:</w:t>
      </w:r>
      <w:r>
        <w:t xml:space="preserve"> </w:t>
      </w:r>
      <w:r>
        <w:t xml:space="preserve">Keine Einigung. Betriebsmodell wird als Bewertungskriterium aufgenommen, nicht als K.-o.</w:t>
      </w:r>
    </w:p>
    <w:bookmarkEnd w:id="23"/>
    <w:bookmarkStart w:id="24" w:name="top-5-scope-pilsen"/>
    <w:p>
      <w:pPr>
        <w:pStyle w:val="Heading2"/>
      </w:pPr>
      <w:r>
        <w:t xml:space="preserve">TOP 5 – Scope Pilsen</w:t>
      </w:r>
    </w:p>
    <w:p>
      <w:pPr>
        <w:numPr>
          <w:ilvl w:val="0"/>
          <w:numId w:val="1004"/>
        </w:numPr>
        <w:pStyle w:val="Compact"/>
      </w:pPr>
      <w:r>
        <w:t xml:space="preserve">Fr. Nováková: NAV 2013 ist kritisch, Server-Hardware 9 Jahre alt, Partner in CZ will Vertrag kündigen. Bittet um Pilsen in Phase 1.</w:t>
      </w:r>
    </w:p>
    <w:p>
      <w:pPr>
        <w:numPr>
          <w:ilvl w:val="0"/>
          <w:numId w:val="1004"/>
        </w:numPr>
        <w:pStyle w:val="Compact"/>
      </w:pPr>
      <w:r>
        <w:t xml:space="preserve">Fr. Haller unterstützt (Konsolidierung).</w:t>
      </w:r>
    </w:p>
    <w:p>
      <w:pPr>
        <w:numPr>
          <w:ilvl w:val="0"/>
          <w:numId w:val="1004"/>
        </w:numPr>
        <w:pStyle w:val="Compact"/>
      </w:pPr>
      <w:r>
        <w:t xml:space="preserve">Hr. Brenner: Kapazität IT reicht nicht für Parallel-Einführung.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Ergebnis:</w:t>
      </w:r>
      <w:r>
        <w:t xml:space="preserve"> </w:t>
      </w:r>
      <w:r>
        <w:t xml:space="preserve">bleibt vorerst Phase 2; Prüfauftrag an Projektleitung, ob Pilsen vorgezogen werden kann.</w:t>
      </w:r>
    </w:p>
    <w:bookmarkEnd w:id="24"/>
    <w:bookmarkStart w:id="25" w:name="top-6-betriebsrat-hr.-kolb"/>
    <w:p>
      <w:pPr>
        <w:pStyle w:val="Heading2"/>
      </w:pPr>
      <w:r>
        <w:t xml:space="preserve">TOP 6 – Betriebsrat (Hr. Kolb)</w:t>
      </w:r>
    </w:p>
    <w:p>
      <w:pPr>
        <w:numPr>
          <w:ilvl w:val="0"/>
          <w:numId w:val="1005"/>
        </w:numPr>
        <w:pStyle w:val="Compact"/>
      </w:pPr>
      <w:r>
        <w:t xml:space="preserve">Betriebsrat unterstützt Modernisierung grundsätzlich.</w:t>
      </w:r>
    </w:p>
    <w:p>
      <w:pPr>
        <w:numPr>
          <w:ilvl w:val="0"/>
          <w:numId w:val="1005"/>
        </w:numPr>
        <w:pStyle w:val="Compact"/>
      </w:pPr>
      <w:r>
        <w:t xml:space="preserve">Erwartet Rahmen-Betriebsvereinbarung IT</w:t>
      </w:r>
      <w:r>
        <w:t xml:space="preserve"> </w:t>
      </w:r>
      <w:r>
        <w:rPr>
          <w:bCs/>
          <w:b/>
        </w:rPr>
        <w:t xml:space="preserve">vor</w:t>
      </w:r>
      <w:r>
        <w:t xml:space="preserve"> </w:t>
      </w:r>
      <w:r>
        <w:t xml:space="preserve">Auswahlentscheidung.</w:t>
      </w:r>
    </w:p>
    <w:p>
      <w:pPr>
        <w:numPr>
          <w:ilvl w:val="0"/>
          <w:numId w:val="1005"/>
        </w:numPr>
        <w:pStyle w:val="Compact"/>
      </w:pPr>
      <w:r>
        <w:t xml:space="preserve">Keine Leistungs- und Verhaltenskontrolle über BDE/ERP-Daten.</w:t>
      </w:r>
    </w:p>
    <w:p>
      <w:pPr>
        <w:numPr>
          <w:ilvl w:val="0"/>
          <w:numId w:val="1005"/>
        </w:numPr>
        <w:pStyle w:val="Compact"/>
      </w:pPr>
      <w:r>
        <w:t xml:space="preserve">Schulungsbudget für Mitarbeitende in Produktion &amp; Lager.</w:t>
      </w:r>
    </w:p>
    <w:bookmarkEnd w:id="25"/>
    <w:bookmarkStart w:id="26" w:name="top-7-nächste-schritte"/>
    <w:p>
      <w:pPr>
        <w:pStyle w:val="Heading2"/>
      </w:pPr>
      <w:r>
        <w:t xml:space="preserve">TOP 7 – Nächste Schritte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Interviews Fachbereiche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Hartmann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31.01.2026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Prozessbeschreibungen IST aktualisieren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31.01.2026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Anforderungskatalog Rohfassung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Hartmann + Key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28.02.2026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Mengengerüst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28.02.2026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Angebot externe Beratung Auswahl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15.01.2026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Lessons Learned 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Brenner / Vogt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offen</w:t>
            </w:r>
          </w:p>
        </w:tc>
      </w:tr>
    </w:tbl>
    <w:p>
      <w:pPr>
        <w:pStyle w:val="BodyText"/>
      </w:pPr>
      <w:r>
        <w:rPr>
          <w:iCs/>
          <w:i/>
        </w:rPr>
        <w:t xml:space="preserve">Anmerkung Protokoll: Hr. Moser hat den Workshop um 12:00 wegen Kundentermin verlassen; Vertriebsthemen wurden durch Fr. Petersen eingebracht.</w:t>
      </w:r>
    </w:p>
    <w:bookmarkEnd w:id="26"/>
    <w:bookmarkEnd w:id="27"/>
    <w:sectPr>
      <w:headerReference r:id="rId9" w:type="default"/>
      <w:footerReference r:id="rId10" w:type="default"/>
      <w:pgSz w:h="16838" w:w="11906"/>
      <w:pgMar w:left="1247" w:right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KVA · ERP 2028  ·  Seite </w:t>
    </w:r>
    <w:fldSimple w:instr="PAGE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6666"/>
        <w:sz w:val="16"/>
      </w:rPr>
      <w:t>Kessler &amp; Vogt Antriebstechnik GmbH  ·  Singen  ·  INTERN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eastAsia="Arial" w:hAnsi="Arial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eastAsia="Arial" w:hAnsi="Arial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Arial" w:eastAsia="Arial" w:hAnsi="Arial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eastAsia="Arial" w:hAnsi="Arial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theme="majorBidi" w:eastAsia="Arial" w:eastAsiaTheme="majorEastAsia" w:hAnsi="Arial" w:hAnsiTheme="majorHAnsi"/>
      <w:b/>
      <w:bCs/>
      <w:color w:val="1F4E79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eastAsia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eastAsia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eastAsia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eastAsia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eastAsia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asciiTheme="majorHAnsi" w:cstheme="majorBidi" w:eastAsia="Arial" w:eastAsiaTheme="majorEastAsia" w:hAnsi="Arial" w:hAnsiTheme="majorHAnsi"/>
      <w:b/>
      <w:bCs/>
      <w:color w:val="1F4E79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asciiTheme="majorHAnsi" w:cstheme="majorBidi" w:eastAsia="Arial" w:eastAsiaTheme="majorEastAsia" w:hAnsi="Arial" w:hAnsiTheme="majorHAnsi"/>
      <w:b/>
      <w:bCs/>
      <w:color w:val="1F4E79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asciiTheme="majorHAnsi" w:cstheme="majorBidi" w:eastAsia="Arial" w:eastAsiaTheme="majorEastAsia" w:hAnsi="Arial" w:hAnsiTheme="majorHAnsi"/>
      <w:b/>
      <w:bCs/>
      <w:color w:val="1F4E79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asciiTheme="majorHAnsi" w:cstheme="majorBidi" w:eastAsia="Arial" w:eastAsiaTheme="majorEastAsia" w:hAnsi="Arial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asciiTheme="majorHAnsi" w:cstheme="majorBidi" w:eastAsia="Arial" w:eastAsiaTheme="majorEastAsia" w:hAnsi="Arial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asciiTheme="majorHAnsi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asciiTheme="majorHAnsi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asciiTheme="majorHAnsi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asciiTheme="majorHAnsi" w:cstheme="majorBidi" w:eastAsia="Arial" w:eastAsiaTheme="majorEastAsia" w:hAnsi="Arial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eastAsia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eastAsia="Arial" w:hAnsi="Arial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6B4C3" w:sz="4" w:val="single"/>
        <w:left w:color="A6B4C3" w:sz="4" w:val="single"/>
        <w:bottom w:color="A6B4C3" w:sz="4" w:val="single"/>
        <w:right w:color="A6B4C3" w:sz="4" w:val="single"/>
        <w:insideH w:color="A6B4C3" w:sz="4" w:val="single"/>
        <w:insideV w:color="A6B4C3" w:sz="4" w:val="single"/>
      </w:tblBorders>
    </w:tblPr>
    <w:tblStylePr w:type="firstRow">
      <w:rPr>
        <w:b/>
        <w:color w:val="FFFFFF"/>
      </w:rPr>
      <w:tcPr>
        <w:shd w:color="auto" w:fill="1F4E7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Arial" w:hAnsi="Arial"/>
      <w:b/>
    </w:rPr>
  </w:style>
  <w:style w:customStyle="1" w:styleId="Definition" w:type="paragraph">
    <w:name w:val="Definition"/>
    <w:basedOn w:val="Normal"/>
    <w:rPr>
      <w:rFonts w:ascii="Arial" w:eastAsia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eastAsia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eastAsia="Arial" w:hAnsi="Arial"/>
    </w:rPr>
  </w:style>
  <w:style w:customStyle="1" w:styleId="ImageCaption" w:type="paragraph">
    <w:name w:val="Image Caption"/>
    <w:basedOn w:val="Caption"/>
    <w:rPr>
      <w:rFonts w:ascii="Arial" w:eastAsia="Arial" w:hAnsi="Arial"/>
    </w:rPr>
  </w:style>
  <w:style w:customStyle="1" w:styleId="Figure" w:type="paragraph">
    <w:name w:val="Figure"/>
    <w:basedOn w:val="Normal"/>
    <w:rPr>
      <w:rFonts w:ascii="Arial" w:eastAsia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eastAsia="Arial" w:hAnsi="Arial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asciiTheme="majorHAnsi" w:cstheme="majorBidi" w:eastAsia="Arial" w:eastAsiaTheme="majorEastAsia" w:hAnsi="Arial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2026-10-28T17:34:03Z</dcterms:created>
  <dcterms:modified xsi:type="dcterms:W3CDTF">2026-10-28T17:34:03Z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