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astenheft-erp-neueinführung-entwurf"/>
    <w:p>
      <w:pPr>
        <w:pStyle w:val="Heading1"/>
      </w:pPr>
      <w:r>
        <w:t xml:space="preserve">LASTENHEFT ERP-Neueinführung – ENTWURF</w:t>
      </w:r>
    </w:p>
    <w:p>
      <w:pPr>
        <w:pStyle w:val="FirstParagraph"/>
      </w:pPr>
      <w:r>
        <w:rPr>
          <w:iCs/>
          <w:i/>
        </w:rPr>
        <w:t xml:space="preserve">Version 0.7 · 23.03.2015 · Erstellt von: Projektteam „KVA neu” (H. Sautter, ext. Berater Fa. ProConsult Süd) · Status: nie freigegeben</w:t>
      </w:r>
    </w:p>
    <w:p>
      <w:pPr>
        <w:pStyle w:val="BlockText"/>
      </w:pPr>
      <w:r>
        <w:t xml:space="preserve">Hinweis L. Hartmann (01/2026): Dokument im Laufwerk G:</w:t>
      </w:r>
      <w:r>
        <w:t xml:space="preserve">_alt gefunden. Teile könnten noch gültig sein. Kapitel 6–9 fehlen. Personen und Zahlen sind Stand 2015!</w:t>
      </w:r>
    </w:p>
    <w:p>
      <w:r>
        <w:pict>
          <v:rect style="width:0;height:1.5pt" o:hralign="center" o:hrstd="t" o:hr="t"/>
        </w:pict>
      </w:r>
    </w:p>
    <w:bookmarkStart w:id="20" w:name="zielsetzung"/>
    <w:p>
      <w:pPr>
        <w:pStyle w:val="Heading2"/>
      </w:pPr>
      <w:r>
        <w:t xml:space="preserve">1. Zielsetzung</w:t>
      </w:r>
    </w:p>
    <w:p>
      <w:pPr>
        <w:pStyle w:val="FirstParagraph"/>
      </w:pPr>
      <w:r>
        <w:t xml:space="preserve">Ablösung KVA-WARE durch SAP ERP 6.0 bis 01.01.2016. Einführung aller Module „im Standard”. Ausnahme: Variantenkonfiguration (LO-VC) für den Getriebebaukasten.</w:t>
      </w:r>
    </w:p>
    <w:bookmarkEnd w:id="20"/>
    <w:bookmarkStart w:id="21" w:name="mengengerüst-2015"/>
    <w:p>
      <w:pPr>
        <w:pStyle w:val="Heading2"/>
      </w:pPr>
      <w:r>
        <w:t xml:space="preserve">2. Mengengerüst (2015)</w:t>
      </w:r>
    </w:p>
    <w:p>
      <w:pPr>
        <w:numPr>
          <w:ilvl w:val="0"/>
          <w:numId w:val="1001"/>
        </w:numPr>
        <w:pStyle w:val="Compact"/>
      </w:pPr>
      <w:r>
        <w:t xml:space="preserve">220 Mitarbeitende, 95 ERP-Anwender</w:t>
      </w:r>
    </w:p>
    <w:p>
      <w:pPr>
        <w:numPr>
          <w:ilvl w:val="0"/>
          <w:numId w:val="1001"/>
        </w:numPr>
        <w:pStyle w:val="Compact"/>
      </w:pPr>
      <w:r>
        <w:t xml:space="preserve">31.000 aktive Artikel</w:t>
      </w:r>
    </w:p>
    <w:p>
      <w:pPr>
        <w:numPr>
          <w:ilvl w:val="0"/>
          <w:numId w:val="1001"/>
        </w:numPr>
        <w:pStyle w:val="Compact"/>
      </w:pPr>
      <w:r>
        <w:t xml:space="preserve">6.500 Kundenaufträge p. a.</w:t>
      </w:r>
    </w:p>
    <w:p>
      <w:pPr>
        <w:numPr>
          <w:ilvl w:val="0"/>
          <w:numId w:val="1001"/>
        </w:numPr>
        <w:pStyle w:val="Compact"/>
      </w:pPr>
      <w:r>
        <w:t xml:space="preserve">Werk Pilsen: 25 MA, noch kein ERP-Bedarf (Lohnfertiger-Modell)</w:t>
      </w:r>
    </w:p>
    <w:bookmarkEnd w:id="21"/>
    <w:bookmarkStart w:id="22" w:name="muss-anforderungen-auszug"/>
    <w:p>
      <w:pPr>
        <w:pStyle w:val="Heading2"/>
      </w:pPr>
      <w:r>
        <w:t xml:space="preserve">3. Muss-Anforderungen (Auszug)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Variantenkonfiguration mit Regelwerk für Getriebebaukasten inkl. automatischer Stücklisten- und Arbeitsplangenerierung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Vertrieb/Konstruktion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Preisfindung über Konfigurationsmerkmale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Vertrieb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Leitstand mit Ansicht „wie KVA-WARE Maske F12” (Wunsch Fertigungssteuerung)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Chargenverfolgung für Gussgehäuse (Kundenforderung Bahn)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Mehrstufige Stücklisten mit Phantombaugruppen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Konstruktion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Projektsystem für Sonderantriebe mit Meilensteinfakturierung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Vertrieb/Finanzen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Schnittstelle zu SolidWorks EPDM (Stückliste)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Konstruktion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Druck aller Belege wie bisher (Layout unverändert)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Rückmeldung über bestehende BDE-Terminals (Fabrikat Kaba)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Fremdwährung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Finanzen</w:t>
            </w:r>
          </w:p>
        </w:tc>
      </w:tr>
    </w:tbl>
    <w:bookmarkEnd w:id="22"/>
    <w:bookmarkStart w:id="23" w:name="offene-punkte-stand-032015"/>
    <w:p>
      <w:pPr>
        <w:pStyle w:val="Heading2"/>
      </w:pPr>
      <w:r>
        <w:t xml:space="preserve">4. Offene Punkte (Stand 03/2015)</w:t>
      </w:r>
    </w:p>
    <w:p>
      <w:pPr>
        <w:numPr>
          <w:ilvl w:val="0"/>
          <w:numId w:val="1002"/>
        </w:numPr>
        <w:pStyle w:val="Compact"/>
      </w:pPr>
      <w:r>
        <w:t xml:space="preserve">Seriennummernverwaltung „wird nicht benötigt” (Entscheidung GF Vogt, 02/2015)</w:t>
      </w:r>
    </w:p>
    <w:p>
      <w:pPr>
        <w:numPr>
          <w:ilvl w:val="0"/>
          <w:numId w:val="1002"/>
        </w:numPr>
        <w:pStyle w:val="Compact"/>
      </w:pPr>
      <w:r>
        <w:t xml:space="preserve">Lagerplatzverwaltung: Kardex-Anbindung „nice to have”</w:t>
      </w:r>
    </w:p>
    <w:p>
      <w:pPr>
        <w:numPr>
          <w:ilvl w:val="0"/>
          <w:numId w:val="1002"/>
        </w:numPr>
        <w:pStyle w:val="Compact"/>
      </w:pPr>
      <w:r>
        <w:t xml:space="preserve">Prüfmittelverwaltung: bleibt in Excel</w:t>
      </w:r>
    </w:p>
    <w:p>
      <w:pPr>
        <w:numPr>
          <w:ilvl w:val="0"/>
          <w:numId w:val="1002"/>
        </w:numPr>
        <w:pStyle w:val="Compact"/>
      </w:pPr>
      <w:r>
        <w:t xml:space="preserve">Betriebsrat: noch nicht informiert</w:t>
      </w:r>
    </w:p>
    <w:bookmarkEnd w:id="23"/>
    <w:bookmarkStart w:id="24" w:name="abnahmekriterien"/>
    <w:p>
      <w:pPr>
        <w:pStyle w:val="Heading2"/>
      </w:pPr>
      <w:r>
        <w:t xml:space="preserve">5. Abnahmekriterien</w:t>
      </w:r>
    </w:p>
    <w:p>
      <w:pPr>
        <w:numPr>
          <w:ilvl w:val="0"/>
          <w:numId w:val="1003"/>
        </w:numPr>
        <w:pStyle w:val="Compact"/>
      </w:pPr>
      <w:r>
        <w:t xml:space="preserve">Alle bisherigen Auswertungen aus KVA-WARE (ca. 340 Listen) müssen im neuen System verfügbar sein.</w:t>
      </w:r>
    </w:p>
    <w:p>
      <w:pPr>
        <w:pStyle w:val="FirstParagraph"/>
      </w:pPr>
      <w:r>
        <w:rPr>
          <w:iCs/>
          <w:i/>
        </w:rPr>
        <w:t xml:space="preserve">[Kapitel 6–9 fehlen in der gefundenen Datei]</w:t>
      </w:r>
    </w:p>
    <w:bookmarkEnd w:id="24"/>
    <w:bookmarkEnd w:id="25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Projekt KVA neu · vertraulich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ProConsult Süd GmbH – Unternehmensberatung für den Mittelstand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Times New Roman" w:hAnsi="Times New Roman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eastAsia="Times New Roman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Times New Roman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Times New Roman" w:hAnsi="Times New Roman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44444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44444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44444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44444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6666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