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rp-historie-der-kva-einschätzung-der-it"/>
    <w:p>
      <w:pPr>
        <w:pStyle w:val="Heading1"/>
      </w:pPr>
      <w:r>
        <w:t xml:space="preserve">ERP-Historie der KVA – Einschätzung der IT</w:t>
      </w:r>
    </w:p>
    <w:p>
      <w:pPr>
        <w:pStyle w:val="FirstParagraph"/>
      </w:pPr>
      <w:r>
        <w:rPr>
          <w:iCs/>
          <w:i/>
        </w:rPr>
        <w:t xml:space="preserve">Verfasser: Markus Brenner, Leitung IT · 10.01.2026 · intern</w:t>
      </w:r>
    </w:p>
    <w:p>
      <w:r>
        <w:pict>
          <v:rect style="width:0;height:1.5pt" o:hralign="center" o:hrstd="t" o:hr="t"/>
        </w:pict>
      </w:r>
    </w:p>
    <w:bookmarkStart w:id="23" w:name="zeitstrahl"/>
    <w:p>
      <w:pPr>
        <w:pStyle w:val="Heading2"/>
      </w:pPr>
      <w:r>
        <w:t xml:space="preserve">1. Zeitstrahl</w:t>
      </w:r>
    </w:p>
    <w:p>
      <w:pPr>
        <w:pStyle w:val="FirstParagraph"/>
      </w:pPr>
      <w:r>
        <w:drawing>
          <wp:inline>
            <wp:extent cx="5969000" cy="206925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RP-Historie_Zeitstrah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06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Eigenentwicklung „KVA-WARE” auf IBM AS/400 (RPG), Entwickler: K. Brugger + externer Freelancer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Fertigung, Lager, Einkauf produktiv; Jahr-2000-Anpassung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Finanzbuchhaltung von DATEV (Steuerberater) in KVA-WARE integriert –</w:t>
            </w:r>
            <w:r>
              <w:t xml:space="preserve"> </w:t>
            </w:r>
            <w:r>
              <w:rPr>
                <w:bCs/>
                <w:b/>
              </w:rPr>
              <w:t xml:space="preserve">Kreditoren/Debitoren</w:t>
            </w:r>
            <w:r>
              <w:t xml:space="preserve"> </w:t>
            </w:r>
            <w:r>
              <w:t xml:space="preserve">in KVA-WARE,</w:t>
            </w:r>
            <w:r>
              <w:t xml:space="preserve"> </w:t>
            </w:r>
            <w:r>
              <w:rPr>
                <w:bCs/>
                <w:b/>
              </w:rPr>
              <w:t xml:space="preserve">Hauptbuch und Abschluss</w:t>
            </w:r>
            <w:r>
              <w:t xml:space="preserve"> </w:t>
            </w:r>
            <w:r>
              <w:t xml:space="preserve">weiterhin DATEV via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Web-Frontend für Auftragsauskunft (Java, inzwischen nicht mehr gewartet)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Gründung Werk Pilsen; Einführung Dynamics NAV 2009 durch tschechischen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Pilsen auf NAV 2013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Projekt „KVA neu” mit SAP ERP 6.0 (Partner ProConsult Süd)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03/2016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Abbruch</w:t>
            </w:r>
            <w:r>
              <w:t xml:space="preserve"> </w:t>
            </w:r>
            <w:r>
              <w:t xml:space="preserve">„KVA neu” nach 17 Monaten; Kosten ca. 940 T€ (lt. Abschlussbericht Controlling 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Stabilisierung KVA-WARE, Hardware-Tausch IBM Power8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Einführung Salesforce Sales Cloud im Vertrieb (Initiative Vertriebsleitung, ohne Einbindung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365, Teams, SharePoint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Supportende NAV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Power9 (Leasing bis 06/2029)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Projektinitiative ERP 2028</w:t>
            </w:r>
          </w:p>
        </w:tc>
      </w:tr>
    </w:tbl>
    <w:bookmarkEnd w:id="23"/>
    <w:bookmarkStart w:id="24" w:name="warum-ist-kva-neu-gescheitert-sicht-it"/>
    <w:p>
      <w:pPr>
        <w:pStyle w:val="Heading2"/>
      </w:pPr>
      <w:r>
        <w:t xml:space="preserve">2. Warum ist „KVA neu” gescheitert? (Sicht IT)</w:t>
      </w:r>
    </w:p>
    <w:p>
      <w:pPr>
        <w:numPr>
          <w:ilvl w:val="0"/>
          <w:numId w:val="1001"/>
        </w:numPr>
        <w:pStyle w:val="Compact"/>
      </w:pPr>
      <w:r>
        <w:t xml:space="preserve">Keine klare Entscheidung zum Variantenkonfigurator – 3 Konzepte, keines umgesetzt.</w:t>
      </w:r>
    </w:p>
    <w:p>
      <w:pPr>
        <w:numPr>
          <w:ilvl w:val="0"/>
          <w:numId w:val="1001"/>
        </w:numPr>
        <w:pStyle w:val="Compact"/>
      </w:pPr>
      <w:r>
        <w:t xml:space="preserve">Key User nicht freigestellt; Auftragsspitze 2015.</w:t>
      </w:r>
    </w:p>
    <w:p>
      <w:pPr>
        <w:numPr>
          <w:ilvl w:val="0"/>
          <w:numId w:val="1001"/>
        </w:numPr>
        <w:pStyle w:val="Compact"/>
      </w:pPr>
      <w:r>
        <w:t xml:space="preserve">Datenmigration Stücklisten unterschätzt (Dubletten, keine Revisionsstände).</w:t>
      </w:r>
    </w:p>
    <w:p>
      <w:pPr>
        <w:numPr>
          <w:ilvl w:val="0"/>
          <w:numId w:val="1001"/>
        </w:numPr>
        <w:pStyle w:val="Compact"/>
      </w:pPr>
      <w:r>
        <w:t xml:space="preserve">Berater wechselte 3× den Projektleiter.</w:t>
      </w:r>
    </w:p>
    <w:p>
      <w:pPr>
        <w:numPr>
          <w:ilvl w:val="0"/>
          <w:numId w:val="1001"/>
        </w:numPr>
        <w:pStyle w:val="Compact"/>
      </w:pPr>
      <w:r>
        <w:t xml:space="preserve">GF-Wechselwirkung: Hr. Vogt hat Kernentscheidungen mehrfach revidiert (z. B. Seriennummern).</w:t>
      </w:r>
    </w:p>
    <w:p>
      <w:pPr>
        <w:numPr>
          <w:ilvl w:val="0"/>
          <w:numId w:val="1001"/>
        </w:numPr>
        <w:pStyle w:val="Compact"/>
      </w:pPr>
      <w:r>
        <w:t xml:space="preserve">340 Listen aus KVA-WARE als Abnahmekriterium → nicht erfüllbar.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Anmerkung handschriftlich von W. Vogt auf Ausdruck (eingescannt):</w:t>
      </w:r>
      <w:r>
        <w:t xml:space="preserve"> </w:t>
      </w:r>
      <w:r>
        <w:t xml:space="preserve">„Der Berater hat uns SAP verkauft, das wir nie gebraucht haben. Nicht wir sind schuld.”</w:t>
      </w:r>
    </w:p>
    <w:bookmarkEnd w:id="24"/>
    <w:bookmarkStart w:id="25" w:name="zustand-kva-ware-heute"/>
    <w:p>
      <w:pPr>
        <w:pStyle w:val="Heading2"/>
      </w:pPr>
      <w:r>
        <w:t xml:space="preserve">3. Zustand KVA-WARE heute</w:t>
      </w:r>
    </w:p>
    <w:p>
      <w:pPr>
        <w:pStyle w:val="FirstParagraph"/>
      </w:pPr>
      <w:r>
        <w:rPr>
          <w:bCs/>
          <w:b/>
        </w:rPr>
        <w:t xml:space="preserve">Stärken</w:t>
      </w:r>
      <w:r>
        <w:t xml:space="preserve"> </w:t>
      </w:r>
      <w:r>
        <w:t xml:space="preserve">- Sehr schnell, stabil, Ausfälle &lt; 2 h/Jahr</w:t>
      </w:r>
      <w:r>
        <w:t xml:space="preserve"> </w:t>
      </w:r>
      <w:r>
        <w:t xml:space="preserve">- Perfekt auf Abläufe zugeschnitten (z. B. Maske F12 Fertigungsübersicht)</w:t>
      </w:r>
      <w:r>
        <w:t xml:space="preserve"> </w:t>
      </w:r>
      <w:r>
        <w:t xml:space="preserve">- Keine Lizenzkosten</w:t>
      </w:r>
    </w:p>
    <w:p>
      <w:pPr>
        <w:pStyle w:val="BodyText"/>
      </w:pPr>
      <w:r>
        <w:rPr>
          <w:bCs/>
          <w:b/>
        </w:rPr>
        <w:t xml:space="preserve">Schwächen</w:t>
      </w:r>
      <w:r>
        <w:t xml:space="preserve"> </w:t>
      </w:r>
      <w:r>
        <w:t xml:space="preserve">- Wissen bei einer Person (Brugger, Ruhestand 31.12.2027 – Verlängerung als Freelancer „ausgeschlossen”, lt. Brugger; lt. Fr. Haller „vielleicht verhandelbar”)</w:t>
      </w:r>
      <w:r>
        <w:t xml:space="preserve"> </w:t>
      </w:r>
      <w:r>
        <w:t xml:space="preserve">- Kein Variantenkonfigurator – Konfiguration erfolgt in Excel-Tool „KonfiX” (VBA, 2009, Entwickler hat Firma verlassen)</w:t>
      </w:r>
      <w:r>
        <w:t xml:space="preserve"> </w:t>
      </w:r>
      <w:r>
        <w:t xml:space="preserve">- Keine Kapazitätsplanung, keine Chargen, rudimentäre Seriennummern (Freitextfeld)</w:t>
      </w:r>
      <w:r>
        <w:t xml:space="preserve"> </w:t>
      </w:r>
      <w:r>
        <w:t xml:space="preserve">- Keine Mandantenfähigkeit, keine Fremdsprachen, nur EUR</w:t>
      </w:r>
      <w:r>
        <w:t xml:space="preserve"> </w:t>
      </w:r>
      <w:r>
        <w:t xml:space="preserve">- Kein E-Rechnungsformat (XRechnung/ZUGFeRD) – Empfang aktuell via PDF-Viewer</w:t>
      </w:r>
      <w:r>
        <w:t xml:space="preserve"> </w:t>
      </w:r>
      <w:r>
        <w:t xml:space="preserve">- Schnittstellen als Dateiexporte (CSV per FTP, nachts)</w:t>
      </w:r>
      <w:r>
        <w:t xml:space="preserve"> </w:t>
      </w:r>
      <w:r>
        <w:t xml:space="preserve">- Green-Screen-Oberfläche (5250-Emulation), Webauskunft veraltet</w:t>
      </w:r>
      <w:r>
        <w:t xml:space="preserve"> </w:t>
      </w:r>
      <w:r>
        <w:t xml:space="preserve">- Berechtigungen: faktisch jeder Anwender sieht alles</w:t>
      </w:r>
    </w:p>
    <w:bookmarkEnd w:id="25"/>
    <w:bookmarkStart w:id="26" w:name="empfehlung-it-brenner"/>
    <w:p>
      <w:pPr>
        <w:pStyle w:val="Heading2"/>
      </w:pPr>
      <w:r>
        <w:t xml:space="preserve">4. Empfehlung IT (Brenner)</w:t>
      </w:r>
    </w:p>
    <w:p>
      <w:pPr>
        <w:numPr>
          <w:ilvl w:val="0"/>
          <w:numId w:val="1002"/>
        </w:numPr>
        <w:pStyle w:val="Compact"/>
      </w:pPr>
      <w:r>
        <w:t xml:space="preserve">Standard-ERP mit Fertigungsfokus,</w:t>
      </w:r>
      <w:r>
        <w:t xml:space="preserve"> </w:t>
      </w:r>
      <w:r>
        <w:rPr>
          <w:bCs/>
          <w:b/>
        </w:rPr>
        <w:t xml:space="preserve">Mittelstands-Anbieter</w:t>
      </w:r>
      <w:r>
        <w:t xml:space="preserve"> </w:t>
      </w:r>
      <w:r>
        <w:t xml:space="preserve">bevorzugt.</w:t>
      </w:r>
    </w:p>
    <w:p>
      <w:pPr>
        <w:numPr>
          <w:ilvl w:val="0"/>
          <w:numId w:val="1002"/>
        </w:numPr>
        <w:pStyle w:val="Compact"/>
      </w:pPr>
      <w:r>
        <w:t xml:space="preserve">Betrieb: Private Cloud bei deutschem Partner oder On-Prem; reiner Public-SaaS „nur, wenn Offline-Fähigkeit für Fertigungsrückmeldung und Exportkontrolle geklärt”.</w:t>
      </w:r>
    </w:p>
    <w:p>
      <w:pPr>
        <w:numPr>
          <w:ilvl w:val="0"/>
          <w:numId w:val="1002"/>
        </w:numPr>
        <w:pStyle w:val="Compact"/>
      </w:pPr>
      <w:r>
        <w:t xml:space="preserve">Salesforce ablösen (Kosten 2025: ca. 68 T€/Jahr) – oder sauber integrieren.</w:t>
      </w:r>
    </w:p>
    <w:p>
      <w:pPr>
        <w:numPr>
          <w:ilvl w:val="0"/>
          <w:numId w:val="1002"/>
        </w:numPr>
        <w:pStyle w:val="Compact"/>
      </w:pPr>
      <w:r>
        <w:t xml:space="preserve">Pilsen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in Phase 1.</w:t>
      </w:r>
    </w:p>
    <w:p>
      <w:pPr>
        <w:numPr>
          <w:ilvl w:val="0"/>
          <w:numId w:val="1002"/>
        </w:numPr>
        <w:pStyle w:val="Compact"/>
      </w:pPr>
      <w:r>
        <w:t xml:space="preserve">Go-live 01.01.2028 ist „ambitioniert”; realistisch eher</w:t>
      </w:r>
      <w:r>
        <w:t xml:space="preserve"> </w:t>
      </w:r>
      <w:r>
        <w:rPr>
          <w:bCs/>
          <w:b/>
        </w:rPr>
        <w:t xml:space="preserve">Mitte 2028</w:t>
      </w:r>
      <w:r>
        <w:t xml:space="preserve">, mit Puffer durch Freelancer-Vertrag Brugger.</w:t>
      </w:r>
    </w:p>
    <w:bookmarkEnd w:id="26"/>
    <w:bookmarkEnd w:id="27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