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it-architektur-ist-kva-gruppe"/>
    <w:p>
      <w:pPr>
        <w:pStyle w:val="Heading1"/>
      </w:pPr>
      <w:r>
        <w:t xml:space="preserve">IT-Architektur IST – KVA-Gruppe</w:t>
      </w:r>
    </w:p>
    <w:p>
      <w:pPr>
        <w:pStyle w:val="FirstParagraph"/>
      </w:pPr>
      <w:r>
        <w:rPr>
          <w:iCs/>
          <w:i/>
        </w:rPr>
        <w:t xml:space="preserve">Stand 02/2026 · M. Brenner · Version 0.9 (Schnittstellenliste unvollständig)</w:t>
      </w:r>
    </w:p>
    <w:p>
      <w:r>
        <w:pict>
          <v:rect style="width:0;height:1.5pt" o:hralign="center" o:hrstd="t" o:hr="t"/>
        </w:pict>
      </w:r>
    </w:p>
    <w:bookmarkStart w:id="23" w:name="systemlandschaft-übersicht"/>
    <w:p>
      <w:pPr>
        <w:pStyle w:val="Heading2"/>
      </w:pPr>
      <w:r>
        <w:t xml:space="preserve">1. Systemlandschaft (Übersicht)</w:t>
      </w:r>
    </w:p>
    <w:p>
      <w:pPr>
        <w:pStyle w:val="FirstParagraph"/>
      </w:pPr>
      <w:r>
        <w:drawing>
          <wp:inline>
            <wp:extent cx="8916035" cy="7186728"/>
            <wp:effectExtent b="0" l="0" r="0" t="0"/>
            <wp:docPr descr="Systemlandschaft IST" title="" id="21" name="Picture"/>
            <a:graphic>
              <a:graphicData uri="http://schemas.openxmlformats.org/drawingml/2006/picture">
                <pic:pic>
                  <pic:nvPicPr>
                    <pic:cNvPr descr="IT-Systemlandschaft_IS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6035" cy="718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systeme-im-detail"/>
    <w:p>
      <w:pPr>
        <w:pStyle w:val="Heading2"/>
      </w:pPr>
      <w:r>
        <w:t xml:space="preserve">2. Systeme im Detail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Vertrag / Lebenszyklus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Bewertung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KVA-WARE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Kern-ERP Singen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On-Prem, IBM Power9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Leasing Hardware bis 06/2029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ablösen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Dynamics NAV 2013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Pilsen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 Pilsen, Win Server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Support seit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dringend ablösen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DATEV Rechnungswesen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Hauptbuch, Abschluss, Anlagen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DATEV-RZ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ablösen oder Schnittstelle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Salesforce Sales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CRM, Besuchsberichte, Angebote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Lizenzen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Vertrag bis 03/2027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Variantenkonfiguration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Excel/VBA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Wartender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ablösen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SolidWorks PDM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Konstruktion, CAD-Stücklisten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bleibt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Kaba BDE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Rückmeldung, Zeiterfassung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 Mitarbeitende (Stempeln)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Terminals 2012, Ersatzteile knapp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Ersatz nötig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ELO 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Archiv, Eingangsrechnungen (Scan)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bleibt (vorerst)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Lagerlift-Steuerung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anbinden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Versandmodul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Versandlabels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Eigenbau (Access!)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ablösen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ausbauen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Bexio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Buchhaltung Schweiz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Personio + DATEV Lohn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HR, Lohn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bleibt</w:t>
            </w:r>
          </w:p>
        </w:tc>
      </w:tr>
    </w:tbl>
    <w:bookmarkEnd w:id="24"/>
    <w:bookmarkStart w:id="25" w:name="infrastruktur"/>
    <w:p>
      <w:pPr>
        <w:pStyle w:val="Heading2"/>
      </w:pPr>
      <w:r>
        <w:t xml:space="preserve">3. Infrastruktur</w:t>
      </w:r>
    </w:p>
    <w:p>
      <w:pPr>
        <w:numPr>
          <w:ilvl w:val="0"/>
          <w:numId w:val="1001"/>
        </w:numPr>
        <w:pStyle w:val="Compact"/>
      </w:pPr>
      <w:r>
        <w:t xml:space="preserve">Serverraum Singen, VMware vSphere 7 (Support-Ende beachten), 2 Hosts, kein zweites RZ</w:t>
      </w:r>
    </w:p>
    <w:p>
      <w:pPr>
        <w:numPr>
          <w:ilvl w:val="0"/>
          <w:numId w:val="1001"/>
        </w:numPr>
        <w:pStyle w:val="Compact"/>
      </w:pPr>
      <w:r>
        <w:t xml:space="preserve">Backup: Veeam, Band-Auslagerung wöchentlich</w:t>
      </w:r>
    </w:p>
    <w:p>
      <w:pPr>
        <w:numPr>
          <w:ilvl w:val="0"/>
          <w:numId w:val="1001"/>
        </w:numPr>
        <w:pStyle w:val="Compact"/>
      </w:pPr>
      <w:r>
        <w:t xml:space="preserve">Internet Singen: 1 Glasfaser 500 Mbit/s, LTE-Backup (instabil); 2 Ausfälle 2025 &gt; 4 h</w:t>
      </w:r>
    </w:p>
    <w:p>
      <w:pPr>
        <w:numPr>
          <w:ilvl w:val="0"/>
          <w:numId w:val="1001"/>
        </w:numPr>
        <w:pStyle w:val="Compact"/>
      </w:pPr>
      <w:r>
        <w:t xml:space="preserve">Pilsen: eigener kleiner Serverraum, VPN nach Singen (100 Mbit/s)</w:t>
      </w:r>
    </w:p>
    <w:p>
      <w:pPr>
        <w:numPr>
          <w:ilvl w:val="0"/>
          <w:numId w:val="1001"/>
        </w:numPr>
        <w:pStyle w:val="Compact"/>
      </w:pPr>
      <w:r>
        <w:t xml:space="preserve">Clients: Windows 11, Thin Clients in Produktion (5250-Emulation)</w:t>
      </w:r>
    </w:p>
    <w:p>
      <w:pPr>
        <w:numPr>
          <w:ilvl w:val="0"/>
          <w:numId w:val="1001"/>
        </w:numPr>
        <w:pStyle w:val="Compact"/>
      </w:pPr>
      <w:r>
        <w:t xml:space="preserve">WLAN in Fertigungshalle: lückenhaft (Halle 3 nicht abgedeckt)</w:t>
      </w:r>
    </w:p>
    <w:bookmarkEnd w:id="25"/>
    <w:bookmarkStart w:id="26" w:name="it-organisation"/>
    <w:p>
      <w:pPr>
        <w:pStyle w:val="Heading2"/>
      </w:pPr>
      <w:r>
        <w:t xml:space="preserve">4. IT-Organisation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Schwerpunkt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Markus Brenner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Leitung, Infrastruktur,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Klaus Brugger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KVA-WARE Entwicklung (Ruhestand 12/2027)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Nina 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Client/Support, M365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Kevin Maier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Netzwerk, Server (Teilzeit 60 %)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Azubi (2. Lehrjahr)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</w:tr>
    </w:tbl>
    <w:p>
      <w:pPr>
        <w:pStyle w:val="BodyText"/>
      </w:pPr>
      <w:r>
        <w:t xml:space="preserve">Pilsen: 1 externer IT-Dienstleister (stundenweise)</w:t>
      </w:r>
    </w:p>
    <w:bookmarkEnd w:id="26"/>
    <w:bookmarkStart w:id="27" w:name="informationssicherheit-compliance"/>
    <w:p>
      <w:pPr>
        <w:pStyle w:val="Heading2"/>
      </w:pPr>
      <w:r>
        <w:t xml:space="preserve">5. Informationssicherheit / Compliance</w:t>
      </w:r>
    </w:p>
    <w:p>
      <w:pPr>
        <w:numPr>
          <w:ilvl w:val="0"/>
          <w:numId w:val="1002"/>
        </w:numPr>
        <w:pStyle w:val="Compact"/>
      </w:pPr>
      <w:r>
        <w:t xml:space="preserve">Kein ISMS zertifiziert; TISAX von einem Automotive-nahen Kunden angefragt</w:t>
      </w:r>
    </w:p>
    <w:p>
      <w:pPr>
        <w:numPr>
          <w:ilvl w:val="0"/>
          <w:numId w:val="1002"/>
        </w:numPr>
        <w:pStyle w:val="Compact"/>
      </w:pPr>
      <w:r>
        <w:t xml:space="preserve">Wehrtechnik-Kunden: Zeichnungen teils „VS-NfD” (Verschlusssache – nur für den Dienstgebrauch) → Ablage aktuell separiert auf Fileserver</w:t>
      </w:r>
    </w:p>
    <w:p>
      <w:pPr>
        <w:numPr>
          <w:ilvl w:val="0"/>
          <w:numId w:val="1002"/>
        </w:numPr>
        <w:pStyle w:val="Compact"/>
      </w:pPr>
      <w:r>
        <w:t xml:space="preserve">Exportkontrolle (Dual-Use, Güterlisten): Prüfung manuell durch Vertriebsinnendienst, Liste in Excel</w:t>
      </w:r>
    </w:p>
    <w:p>
      <w:pPr>
        <w:numPr>
          <w:ilvl w:val="0"/>
          <w:numId w:val="1002"/>
        </w:numPr>
        <w:pStyle w:val="Compact"/>
      </w:pPr>
      <w:r>
        <w:t xml:space="preserve">NIS2: Betroffenheit wird geprüft (Einschätzung Brenner: „wahrscheinlich ja, über Kunden”)</w:t>
      </w:r>
    </w:p>
    <w:p>
      <w:pPr>
        <w:numPr>
          <w:ilvl w:val="0"/>
          <w:numId w:val="1002"/>
        </w:numPr>
        <w:pStyle w:val="Compact"/>
      </w:pPr>
      <w:r>
        <w:t xml:space="preserve">E-Rechnung: Empfangspflicht seit 01/2025 – erfüllt nur formal (PDF-Viewer); Versandpflicht ab 2027/2028 noch offen</w:t>
      </w:r>
    </w:p>
    <w:bookmarkEnd w:id="27"/>
    <w:bookmarkStart w:id="28" w:name="schnittstellenliste-auszug-unvollständig"/>
    <w:p>
      <w:pPr>
        <w:pStyle w:val="Heading2"/>
      </w:pPr>
      <w:r>
        <w:t xml:space="preserve">6. Schnittstellenliste (Auszug, unvollständig)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KVA-WARE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Kunden, Angebote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manuell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wöchentlich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Dubletten, Doppelerfassung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KVA-WARE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Stücklisten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manuell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Freigabe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Revisionsstände fehlen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KVA-WARE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Buchungen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DATEV-Format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täglich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Abstimmungsdifferenzen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KVA-WARE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Fertigungsaufträge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Ausfälle, Doppelbuchungen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KVA-WARE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Rückmeldungen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s. 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KVA-WARE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EDI-Clearing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ORDERS, DESADV, INVOIC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EDIFACT/VDA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stündlich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Pilsen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KVA-WARE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Lieferungen 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per 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täglich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manuell, fehleranfällig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KVA-WARE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Belegarchiv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Druckumleitung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KVA-WARE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Versandmodul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Lieferscheine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Access-DB instabil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Webshop Ersatzteile (geplant)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28"/>
    <w:bookmarkEnd w:id="29"/>
    <w:sectPr>
      <w:headerReference r:id="rId9" w:type="default"/>
      <w:footerReference r:id="rId10" w:type="default"/>
      <w:pgSz w:h="11906" w:orient="landscape" w:w="16838"/>
      <w:pgMar w:bottom="907" w:left="1020" w:right="1020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KVA · ERP 2028  ·  Seite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Kessler &amp; Vogt Antriebstechnik GmbH  ·  Singen  ·  INTERN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eastAsia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B4C3" w:sz="4" w:val="single"/>
        <w:left w:color="A6B4C3" w:sz="4" w:val="single"/>
        <w:bottom w:color="A6B4C3" w:sz="4" w:val="single"/>
        <w:right w:color="A6B4C3" w:sz="4" w:val="single"/>
        <w:insideH w:color="A6B4C3" w:sz="4" w:val="single"/>
        <w:insideV w:color="A6B4C3" w:sz="4" w:val="single"/>
      </w:tblBorders>
    </w:tblPr>
    <w:tblStylePr w:type="firstRow">
      <w:rPr>
        <w:b/>
        <w:color w:val="FFFFFF"/>
      </w:rPr>
      <w:tcPr>
        <w:shd w:color="auto" w:fill="1F4E7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Arial" w:hAnsi="Arial"/>
      <w:b/>
    </w:rPr>
  </w:style>
  <w:style w:customStyle="1" w:styleId="Definition" w:type="paragraph">
    <w:name w:val="Definition"/>
    <w:basedOn w:val="Normal"/>
    <w:rPr>
      <w:rFonts w:ascii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eastAsia="Arial" w:hAnsi="Arial"/>
    </w:rPr>
  </w:style>
  <w:style w:customStyle="1" w:styleId="ImageCaption" w:type="paragraph">
    <w:name w:val="Image Caption"/>
    <w:basedOn w:val="Caption"/>
    <w:rPr>
      <w:rFonts w:ascii="Arial" w:eastAsia="Arial" w:hAnsi="Arial"/>
    </w:rPr>
  </w:style>
  <w:style w:customStyle="1" w:styleId="Figure" w:type="paragraph">
    <w:name w:val="Figure"/>
    <w:basedOn w:val="Normal"/>
    <w:rPr>
      <w:rFonts w:ascii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eastAsia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2026-10-28T17:34:03Z</dcterms:created>
  <dcterms:modified xsi:type="dcterms:W3CDTF">2026-10-28T17:34:03Z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