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e1f0b1d7cd8d526c160661806756fc2f4f6904"/>
    <w:p>
      <w:pPr>
        <w:pStyle w:val="Heading1"/>
      </w:pPr>
      <w:r>
        <w:t xml:space="preserve">Prozessbeschreibung IST: Order-to-Cash (Angebot bis Zahlungseingang)</w:t>
      </w:r>
    </w:p>
    <w:p>
      <w:pPr>
        <w:pStyle w:val="FirstParagraph"/>
      </w:pPr>
      <w:r>
        <w:rPr>
          <w:iCs/>
          <w:i/>
        </w:rPr>
        <w:t xml:space="preserve">Prozessverantwortlich: J. Petersen · Stand 01/2026 · Version 2.1 (Basis: QM-Handbuch 2019, Kap. 7.2)</w:t>
      </w:r>
    </w:p>
    <w:p>
      <w:r>
        <w:pict>
          <v:rect style="width:0;height:1.5pt" o:hralign="center" o:hrstd="t" o:hr="t"/>
        </w:pict>
      </w:r>
    </w:p>
    <w:bookmarkStart w:id="20" w:name="varianten"/>
    <w:p>
      <w:pPr>
        <w:pStyle w:val="Heading2"/>
      </w:pPr>
      <w:r>
        <w:t xml:space="preserve">1. Varianten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Umsatz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Besonderheiten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– Standardgetriebe aus Baukasten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55 %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Konfiguration in KonfiX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– Sonderantrieb (Projekt)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Meilensteine, Anzahlungen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– Ersatzteil ab Lager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Webshop gewünscht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– Rahmenauftrag / EDI-Abruf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EDI-Kunden, Lieferplan</w:t>
            </w:r>
          </w:p>
        </w:tc>
      </w:tr>
    </w:tbl>
    <w:p>
      <w:pPr>
        <w:pStyle w:val="BodyText"/>
      </w:pPr>
      <w:r>
        <w:rPr>
          <w:iCs/>
          <w:i/>
        </w:rPr>
        <w:t xml:space="preserve">(Anmerkung Controlling am Rand: Umsatzanteile weichen von Unternehmensprofil ab – dort 60/25/15. Grund: Rahmenaufträge sind dort in Standard enthalten.)</w:t>
      </w:r>
    </w:p>
    <w:bookmarkEnd w:id="20"/>
    <w:bookmarkStart w:id="24" w:name="ablauf-variante-a-standardgetriebe"/>
    <w:p>
      <w:pPr>
        <w:pStyle w:val="Heading2"/>
      </w:pPr>
      <w:r>
        <w:t xml:space="preserve">2. Ablauf Variante A (Standardgetriebe)</w:t>
      </w:r>
    </w:p>
    <w:p>
      <w:pPr>
        <w:pStyle w:val="FirstParagraph"/>
      </w:pPr>
      <w:r>
        <w:drawing>
          <wp:inline>
            <wp:extent cx="9385300" cy="42421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O2C_A_Standardgetriebe_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424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Anfrage</w:t>
      </w:r>
      <w:r>
        <w:t xml:space="preserve"> </w:t>
      </w:r>
      <w:r>
        <w:t xml:space="preserve">kommt per E-Mail, Telefon, Salesforce-Portal oder über Außendienst.</w:t>
      </w:r>
    </w:p>
    <w:p>
      <w:pPr>
        <w:numPr>
          <w:ilvl w:val="0"/>
          <w:numId w:val="1001"/>
        </w:numPr>
        <w:pStyle w:val="Compact"/>
      </w:pPr>
      <w:r>
        <w:t xml:space="preserve">Außendienst legt</w:t>
      </w:r>
      <w:r>
        <w:t xml:space="preserve"> </w:t>
      </w:r>
      <w:r>
        <w:rPr>
          <w:bCs/>
          <w:b/>
        </w:rPr>
        <w:t xml:space="preserve">Opportunity</w:t>
      </w:r>
      <w:r>
        <w:t xml:space="preserve"> </w:t>
      </w:r>
      <w:r>
        <w:t xml:space="preserve">in Salesforce an (nicht immer – Schätzung Fr. Petersen: 50 %).</w:t>
      </w:r>
    </w:p>
    <w:p>
      <w:pPr>
        <w:numPr>
          <w:ilvl w:val="0"/>
          <w:numId w:val="1001"/>
        </w:numPr>
        <w:pStyle w:val="Compact"/>
      </w:pPr>
      <w:r>
        <w:t xml:space="preserve">Innendienst konfiguriert in</w:t>
      </w:r>
      <w:r>
        <w:t xml:space="preserve"> </w:t>
      </w:r>
      <w:r>
        <w:rPr>
          <w:bCs/>
          <w:b/>
        </w:rPr>
        <w:t xml:space="preserve">KonfiX</w:t>
      </w:r>
      <w:r>
        <w:t xml:space="preserve"> </w:t>
      </w:r>
      <w:r>
        <w:t xml:space="preserve">(Excel): Leistung, Übersetzung, Bauform, Optionen → Ergebnis: Typenschlüssel, Preis, Lieferzeit (Lieferzeit = Pauschale aus Tabelle,</w:t>
      </w:r>
      <w:r>
        <w:t xml:space="preserve"> </w:t>
      </w:r>
      <w:r>
        <w:rPr>
          <w:bCs/>
          <w:b/>
        </w:rPr>
        <w:t xml:space="preserve">keine</w:t>
      </w:r>
      <w:r>
        <w:t xml:space="preserve"> </w:t>
      </w:r>
      <w:r>
        <w:t xml:space="preserve">Verfügbarkeitsprüfung).</w:t>
      </w:r>
    </w:p>
    <w:p>
      <w:pPr>
        <w:numPr>
          <w:ilvl w:val="0"/>
          <w:numId w:val="1001"/>
        </w:numPr>
        <w:pStyle w:val="Compact"/>
      </w:pPr>
      <w:r>
        <w:t xml:space="preserve">Angebot wird in</w:t>
      </w:r>
      <w:r>
        <w:t xml:space="preserve"> </w:t>
      </w:r>
      <w:r>
        <w:rPr>
          <w:bCs/>
          <w:b/>
        </w:rPr>
        <w:t xml:space="preserve">KVA-WARE</w:t>
      </w:r>
      <w:r>
        <w:t xml:space="preserve"> </w:t>
      </w:r>
      <w:r>
        <w:t xml:space="preserve">erfasst (Typenschlüssel + Preis abgetippt), Angebot als PDF per Mail.</w:t>
      </w:r>
    </w:p>
    <w:p>
      <w:pPr>
        <w:numPr>
          <w:ilvl w:val="1"/>
          <w:numId w:val="1002"/>
        </w:numPr>
        <w:pStyle w:val="Compact"/>
      </w:pPr>
      <w:r>
        <w:t xml:space="preserve">Parallel: Angebot wird teils in Salesforce erfasst („für die Statistik des Außendienstes”).</w:t>
      </w:r>
    </w:p>
    <w:p>
      <w:pPr>
        <w:numPr>
          <w:ilvl w:val="0"/>
          <w:numId w:val="1001"/>
        </w:numPr>
        <w:pStyle w:val="Compact"/>
      </w:pPr>
      <w:r>
        <w:t xml:space="preserve">Kunde bestellt →</w:t>
      </w:r>
      <w:r>
        <w:t xml:space="preserve"> </w:t>
      </w:r>
      <w:r>
        <w:rPr>
          <w:bCs/>
          <w:b/>
        </w:rPr>
        <w:t xml:space="preserve">Auftragsbestätigung</w:t>
      </w:r>
      <w:r>
        <w:t xml:space="preserve"> </w:t>
      </w:r>
      <w:r>
        <w:t xml:space="preserve">in KVA-WARE; Liefertermin = Wunschtermin oder Pauschale.</w:t>
      </w:r>
    </w:p>
    <w:p>
      <w:pPr>
        <w:numPr>
          <w:ilvl w:val="0"/>
          <w:numId w:val="1001"/>
        </w:numPr>
        <w:pStyle w:val="Compact"/>
      </w:pPr>
      <w:r>
        <w:t xml:space="preserve">Ist der Typenschlüssel</w:t>
      </w:r>
      <w:r>
        <w:t xml:space="preserve"> </w:t>
      </w:r>
      <w:r>
        <w:rPr>
          <w:bCs/>
          <w:b/>
        </w:rPr>
        <w:t xml:space="preserve">neu</w:t>
      </w:r>
      <w:r>
        <w:t xml:space="preserve"> </w:t>
      </w:r>
      <w:r>
        <w:t xml:space="preserve">(ca. 30 % der Fälle): Anforderung an Konstruktion → Stückliste in PDM → CSV-Export → manuelle Übernahme durch AV (Fr. Lang). Dauer: 2–8 Arbeitstage.</w:t>
      </w:r>
    </w:p>
    <w:p>
      <w:pPr>
        <w:numPr>
          <w:ilvl w:val="0"/>
          <w:numId w:val="1001"/>
        </w:numPr>
        <w:pStyle w:val="Compact"/>
      </w:pPr>
      <w:r>
        <w:t xml:space="preserve">Fertigungsauftrag wird angelegt (siehe Plan-to-Produce).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Exportkontrolle</w:t>
      </w:r>
      <w:r>
        <w:t xml:space="preserve">: Innendienst prüft Kunde/Land gegen Excel-Liste; Sanktionslisten-Check über kostenloses Webtool (manuell).</w:t>
      </w:r>
    </w:p>
    <w:p>
      <w:pPr>
        <w:numPr>
          <w:ilvl w:val="0"/>
          <w:numId w:val="1001"/>
        </w:numPr>
        <w:pStyle w:val="Compact"/>
      </w:pPr>
      <w:r>
        <w:t xml:space="preserve">Lieferung, Lieferschein über Versandmodul (Access).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Rechnung</w:t>
      </w:r>
      <w:r>
        <w:t xml:space="preserve"> </w:t>
      </w:r>
      <w:r>
        <w:t xml:space="preserve">in KVA-WARE, Druck → ELO, Versand per Post oder PDF. EDI-Kunden: INVOIC.</w:t>
      </w:r>
    </w:p>
    <w:p>
      <w:pPr>
        <w:numPr>
          <w:ilvl w:val="0"/>
          <w:numId w:val="1001"/>
        </w:numPr>
        <w:pStyle w:val="Compact"/>
      </w:pPr>
      <w:r>
        <w:t xml:space="preserve">Zahlungseingang: Kontoauszug manuell in KVA-WARE gebucht (Debitoren), täglich Export nach DATEV.</w:t>
      </w:r>
    </w:p>
    <w:p>
      <w:pPr>
        <w:numPr>
          <w:ilvl w:val="0"/>
          <w:numId w:val="1001"/>
        </w:numPr>
        <w:pStyle w:val="Compact"/>
      </w:pPr>
      <w:r>
        <w:t xml:space="preserve">Mahnwesen: KVA-WARE, 3 Stufen.</w:t>
      </w:r>
    </w:p>
    <w:bookmarkEnd w:id="24"/>
    <w:bookmarkStart w:id="28" w:name="ablauf-variante-b-sonderantrieb"/>
    <w:p>
      <w:pPr>
        <w:pStyle w:val="Heading2"/>
      </w:pPr>
      <w:r>
        <w:t xml:space="preserve">3. Ablauf Variante B (Sonderantrieb)</w:t>
      </w:r>
    </w:p>
    <w:p>
      <w:pPr>
        <w:pStyle w:val="FirstParagraph"/>
      </w:pPr>
      <w:r>
        <w:drawing>
          <wp:inline>
            <wp:extent cx="9385300" cy="34961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O2C_B_Sonderantrieb_I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0" cy="349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Lastenheft vom Kunden → Machbarkeitsprüfung Entwicklung.</w:t>
      </w:r>
    </w:p>
    <w:p>
      <w:pPr>
        <w:numPr>
          <w:ilvl w:val="0"/>
          <w:numId w:val="1003"/>
        </w:numPr>
        <w:pStyle w:val="Compact"/>
      </w:pPr>
      <w:r>
        <w:t xml:space="preserve">Kalkulation in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(Vorlage „Kalk_Sonder_v14_FINAL2.xlsx”) – Material, Stunden Konstruktion/Fertigung/Montage, Risikozuschlag.</w:t>
      </w:r>
    </w:p>
    <w:p>
      <w:pPr>
        <w:numPr>
          <w:ilvl w:val="0"/>
          <w:numId w:val="1003"/>
        </w:numPr>
        <w:pStyle w:val="Compact"/>
      </w:pPr>
      <w:r>
        <w:t xml:space="preserve">Angebot (Word), Verhandlung, oft mehrere Revisionen.</w:t>
      </w:r>
    </w:p>
    <w:p>
      <w:pPr>
        <w:numPr>
          <w:ilvl w:val="0"/>
          <w:numId w:val="1003"/>
        </w:numPr>
        <w:pStyle w:val="Compact"/>
      </w:pPr>
      <w:r>
        <w:t xml:space="preserve">Auftrag wird in KVA-WARE als</w:t>
      </w:r>
      <w:r>
        <w:t xml:space="preserve"> </w:t>
      </w:r>
      <w:r>
        <w:rPr>
          <w:bCs/>
          <w:b/>
        </w:rPr>
        <w:t xml:space="preserve">ein</w:t>
      </w:r>
      <w:r>
        <w:t xml:space="preserve"> </w:t>
      </w:r>
      <w:r>
        <w:t xml:space="preserve">Auftrag mit einer Position angelegt.</w:t>
      </w:r>
    </w:p>
    <w:p>
      <w:pPr>
        <w:numPr>
          <w:ilvl w:val="0"/>
          <w:numId w:val="1003"/>
        </w:numPr>
        <w:pStyle w:val="Compact"/>
      </w:pPr>
      <w:r>
        <w:t xml:space="preserve">Anzahlungsrechnungen (typ. 30/60/10)</w:t>
      </w:r>
      <w:r>
        <w:t xml:space="preserve"> </w:t>
      </w:r>
      <w:r>
        <w:rPr>
          <w:bCs/>
          <w:b/>
        </w:rPr>
        <w:t xml:space="preserve">manuell in Word</w:t>
      </w:r>
      <w:r>
        <w:t xml:space="preserve">, gebucht in KVA-WARE als Sonderbuchung.</w:t>
      </w:r>
    </w:p>
    <w:p>
      <w:pPr>
        <w:numPr>
          <w:ilvl w:val="0"/>
          <w:numId w:val="1003"/>
        </w:numPr>
        <w:pStyle w:val="Compact"/>
      </w:pPr>
      <w:r>
        <w:t xml:space="preserve">Projektsteuerung über Excel-Projektplan + MS Project (nur Entwicklung).</w:t>
      </w:r>
    </w:p>
    <w:p>
      <w:pPr>
        <w:numPr>
          <w:ilvl w:val="0"/>
          <w:numId w:val="1003"/>
        </w:numPr>
        <w:pStyle w:val="Compact"/>
      </w:pPr>
      <w:r>
        <w:t xml:space="preserve">Kosten werden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auf das Projekt gebucht → Nachkalkulation nur in Excel, sofern jemand Zeit hat.</w:t>
      </w:r>
    </w:p>
    <w:p>
      <w:pPr>
        <w:numPr>
          <w:ilvl w:val="0"/>
          <w:numId w:val="1003"/>
        </w:numPr>
        <w:pStyle w:val="Compact"/>
      </w:pPr>
      <w:r>
        <w:t xml:space="preserve">Abnahme beim Kunden (FAT/SAT), Dokumentation (Prüfberichte, Konformitätserklärung, Materialzeugnisse 3.1).</w:t>
      </w:r>
    </w:p>
    <w:bookmarkEnd w:id="28"/>
    <w:bookmarkStart w:id="29" w:name="probleme-lt.-prozessworkshop-14.01.2026"/>
    <w:p>
      <w:pPr>
        <w:pStyle w:val="Heading2"/>
      </w:pPr>
      <w:r>
        <w:t xml:space="preserve">4. Probleme (lt. Prozessworkshop 14.01.2026)</w:t>
      </w:r>
    </w:p>
    <w:p>
      <w:pPr>
        <w:numPr>
          <w:ilvl w:val="0"/>
          <w:numId w:val="1004"/>
        </w:numPr>
        <w:pStyle w:val="Compact"/>
      </w:pPr>
      <w:r>
        <w:t xml:space="preserve">Kein durchgängiger Beleg Angebot → Auftrag → Lieferung → Rechnung über Systeme hinweg</w:t>
      </w:r>
    </w:p>
    <w:p>
      <w:pPr>
        <w:numPr>
          <w:ilvl w:val="0"/>
          <w:numId w:val="1004"/>
        </w:numPr>
        <w:pStyle w:val="Compact"/>
      </w:pPr>
      <w:r>
        <w:t xml:space="preserve">Liefertermin wird ohne Kapazitäts-/Materialprüfung zugesagt</w:t>
      </w:r>
    </w:p>
    <w:p>
      <w:pPr>
        <w:numPr>
          <w:ilvl w:val="0"/>
          <w:numId w:val="1004"/>
        </w:numPr>
        <w:pStyle w:val="Compact"/>
      </w:pPr>
      <w:r>
        <w:t xml:space="preserve">Doppelerfassung Salesforce / KVA-WARE</w:t>
      </w:r>
    </w:p>
    <w:p>
      <w:pPr>
        <w:numPr>
          <w:ilvl w:val="0"/>
          <w:numId w:val="1004"/>
        </w:numPr>
        <w:pStyle w:val="Compact"/>
      </w:pPr>
      <w:r>
        <w:t xml:space="preserve">Preise im KonfiX und KVA-WARE driften auseinander (Preisliste 2025 in KonfiX erst im März eingespielt)</w:t>
      </w:r>
    </w:p>
    <w:p>
      <w:pPr>
        <w:numPr>
          <w:ilvl w:val="0"/>
          <w:numId w:val="1004"/>
        </w:numPr>
        <w:pStyle w:val="Compact"/>
      </w:pPr>
      <w:r>
        <w:t xml:space="preserve">Anzahlungen und Projekte nicht systemgestützt</w:t>
      </w:r>
    </w:p>
    <w:p>
      <w:pPr>
        <w:numPr>
          <w:ilvl w:val="0"/>
          <w:numId w:val="1004"/>
        </w:numPr>
        <w:pStyle w:val="Compact"/>
      </w:pPr>
      <w:r>
        <w:t xml:space="preserve">Auftragsstatus nur telefonisch über AV erfragbar</w:t>
      </w:r>
    </w:p>
    <w:p>
      <w:pPr>
        <w:numPr>
          <w:ilvl w:val="0"/>
          <w:numId w:val="1004"/>
        </w:numPr>
        <w:pStyle w:val="Compact"/>
      </w:pPr>
      <w:r>
        <w:t xml:space="preserve">Rechnungsversand E-Rechnung (XRechnung/ZUGFeRD) technisch nicht möglich</w:t>
      </w:r>
    </w:p>
    <w:p>
      <w:pPr>
        <w:numPr>
          <w:ilvl w:val="0"/>
          <w:numId w:val="1004"/>
        </w:numPr>
        <w:pStyle w:val="Compact"/>
      </w:pPr>
      <w:r>
        <w:t xml:space="preserve">Gutschriften und Retouren: kein definierter Prozess</w:t>
      </w:r>
    </w:p>
    <w:bookmarkEnd w:id="29"/>
    <w:bookmarkStart w:id="30" w:name="mengen-schätzung-innendienst"/>
    <w:p>
      <w:pPr>
        <w:pStyle w:val="Heading2"/>
      </w:pPr>
      <w:r>
        <w:t xml:space="preserve">5. Mengen (Schätzung Innendienst)</w:t>
      </w:r>
    </w:p>
    <w:p>
      <w:pPr>
        <w:numPr>
          <w:ilvl w:val="0"/>
          <w:numId w:val="1005"/>
        </w:numPr>
        <w:pStyle w:val="Compact"/>
      </w:pPr>
      <w:r>
        <w:t xml:space="preserve">Angebote p. a.: ca. 14.000</w:t>
      </w:r>
    </w:p>
    <w:p>
      <w:pPr>
        <w:numPr>
          <w:ilvl w:val="0"/>
          <w:numId w:val="1005"/>
        </w:numPr>
        <w:pStyle w:val="Compact"/>
      </w:pPr>
      <w:r>
        <w:t xml:space="preserve">Kundenaufträge p. a.: ca. 9.200 (davon 380 Sonderantriebe)</w:t>
      </w:r>
    </w:p>
    <w:p>
      <w:pPr>
        <w:numPr>
          <w:ilvl w:val="0"/>
          <w:numId w:val="1005"/>
        </w:numPr>
        <w:pStyle w:val="Compact"/>
      </w:pPr>
      <w:r>
        <w:t xml:space="preserve">Auftragspositionen p. a.: ca. 21.000</w:t>
      </w:r>
    </w:p>
    <w:p>
      <w:pPr>
        <w:numPr>
          <w:ilvl w:val="0"/>
          <w:numId w:val="1005"/>
        </w:numPr>
        <w:pStyle w:val="Compact"/>
      </w:pPr>
      <w:r>
        <w:t xml:space="preserve">Rechnungen p. a.: ca. 11.500</w:t>
      </w:r>
    </w:p>
    <w:p>
      <w:pPr>
        <w:numPr>
          <w:ilvl w:val="0"/>
          <w:numId w:val="1005"/>
        </w:numPr>
        <w:pStyle w:val="Compact"/>
      </w:pPr>
      <w:r>
        <w:t xml:space="preserve">Aktive Kunden: ca. 2.900</w:t>
      </w:r>
    </w:p>
    <w:bookmarkEnd w:id="30"/>
    <w:bookmarkEnd w:id="31"/>
    <w:sectPr>
      <w:headerReference r:id="rId9" w:type="default"/>
      <w:footerReference r:id="rId10" w:type="default"/>
      <w:pgSz w:h="11906" w:orient="landscape" w:w="16838"/>
      <w:pgMar w:bottom="907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