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ozessbeschreibung-ist-plan-to-produce"/>
    <w:p>
      <w:pPr>
        <w:pStyle w:val="Heading1"/>
      </w:pPr>
      <w:r>
        <w:t xml:space="preserve">Prozessbeschreibung IST: Plan-to-Produce</w:t>
      </w:r>
    </w:p>
    <w:p>
      <w:pPr>
        <w:pStyle w:val="FirstParagraph"/>
      </w:pPr>
      <w:r>
        <w:rPr>
          <w:iCs/>
          <w:i/>
        </w:rPr>
        <w:t xml:space="preserve">Verantwortlich: S. Wiedmann / P. Lang · Stand 01/2026</w:t>
      </w:r>
    </w:p>
    <w:p>
      <w:r>
        <w:pict>
          <v:rect style="width:0;height:1.5pt" o:hralign="center" o:hrstd="t" o:hr="t"/>
        </w:pict>
      </w:r>
    </w:p>
    <w:bookmarkStart w:id="20" w:name="fertigungsstruktur-singen"/>
    <w:p>
      <w:pPr>
        <w:pStyle w:val="Heading2"/>
      </w:pPr>
      <w:r>
        <w:t xml:space="preserve">1. Fertigungsstruktur Singen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Maschinen / Plätze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Engpass?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Dreherei (CNC)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gelegentlich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Verzahnung (Fräsen, Schleifen)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Härterei (2 Kammeröfen, 1 Durchlaufofen)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ja, Hauptengpass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Gehäusebearbeitung (BAZ)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Schweißerei (EN 15085)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Sonderantrieben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Linien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Montage Sonder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Plätze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(Personal)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Lackiererei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 (Fremdbearbeitung)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Lieferzeit 5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Prüffeld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Prüfstände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gelegentlich</w:t>
            </w:r>
          </w:p>
        </w:tc>
      </w:tr>
    </w:tbl>
    <w:p>
      <w:pPr>
        <w:pStyle w:val="BodyText"/>
      </w:pPr>
      <w:r>
        <w:t xml:space="preserve">Pilsen: Gehäusefertigung (Guss-Rohteile von Lieferanten), Wellen, Montage Standardgetriebe Baugrößen 1–3. Liefert ca. 40 % der Gehäuse nach Singen.</w:t>
      </w:r>
    </w:p>
    <w:bookmarkEnd w:id="20"/>
    <w:bookmarkStart w:id="24" w:name="ablauf"/>
    <w:p>
      <w:pPr>
        <w:pStyle w:val="Heading2"/>
      </w:pPr>
      <w:r>
        <w:t xml:space="preserve">2. Ablauf</w:t>
      </w:r>
    </w:p>
    <w:p>
      <w:pPr>
        <w:pStyle w:val="FirstParagraph"/>
      </w:pPr>
      <w:r>
        <w:drawing>
          <wp:inline>
            <wp:extent cx="9385300" cy="424214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2Produce_Singen_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0" cy="424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Planung Primärbedarf:</w:t>
      </w:r>
      <w:r>
        <w:t xml:space="preserve"> </w:t>
      </w:r>
      <w:r>
        <w:t xml:space="preserve">Keine Absatzplanung im System. Vertrieb gibt im Oktober eine Jahresprognose in Excel ab, die „selten jemand anschaut” (Zitat AV).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Bedarfsermittlung:</w:t>
      </w:r>
      <w:r>
        <w:t xml:space="preserve"> </w:t>
      </w:r>
      <w:r>
        <w:t xml:space="preserve">KVA-WARE rechnet nachts eine einfache Bruttobedarfsrechnung (keine Losgrößenoptimierung, keine Wiederbeschaffungszeiten pro Lieferant, Sicherheitsbestände pauschal).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Fertigungsauftrag:</w:t>
      </w:r>
      <w:r>
        <w:t xml:space="preserve"> </w:t>
      </w:r>
      <w:r>
        <w:t xml:space="preserve">Anlage durch AV, Übernahme Arbeitsplan aus Stamm (Vorgabezeiten teils von 1998).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Kapazitätsplanung:</w:t>
      </w:r>
      <w:r>
        <w:t xml:space="preserve"> </w:t>
      </w:r>
      <w:r>
        <w:t xml:space="preserve">Keine im System. Grobplanung in Excel („Kapa_2026.xlsx”), Härterei über Magnettafel; Feinplanung durch Meister.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Materialbereitstellung:</w:t>
      </w:r>
      <w:r>
        <w:t xml:space="preserve"> </w:t>
      </w:r>
      <w:r>
        <w:t xml:space="preserve">Kommissionierliste aus KVA-WARE; Fehlteile werden täglich 07:15 in der „Fehlteilerunde” besprochen.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Fertigung:</w:t>
      </w:r>
      <w:r>
        <w:t xml:space="preserve"> </w:t>
      </w:r>
      <w:r>
        <w:t xml:space="preserve">Papier-Laufkarte begleitet Auftrag; Rückmeldung über BDE-Terminal (Start/Ende je Arbeitsgang, Personalnummer).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Fremdbearbeitung:</w:t>
      </w:r>
      <w:r>
        <w:t xml:space="preserve"> </w:t>
      </w:r>
      <w:r>
        <w:t xml:space="preserve">Lieferschein manuell (Word), Rückverfolgung über Excel-Liste.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Qualitätsprüfung:</w:t>
      </w:r>
      <w:r>
        <w:t xml:space="preserve"> </w:t>
      </w:r>
      <w:r>
        <w:t xml:space="preserve">Prüffeld; Prüfprotokolle Papier, teils Excel, archiviert im Ordner.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Abschluss Fertigungsauftrag:</w:t>
      </w:r>
      <w:r>
        <w:t xml:space="preserve"> </w:t>
      </w:r>
      <w:r>
        <w:t xml:space="preserve">Lagerzugang; Kosten werden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fortgeschrieben (nur Standardpreis).</w:t>
      </w:r>
    </w:p>
    <w:bookmarkEnd w:id="24"/>
    <w:bookmarkStart w:id="25" w:name="variantenfertigung"/>
    <w:p>
      <w:pPr>
        <w:pStyle w:val="Heading2"/>
      </w:pPr>
      <w:r>
        <w:t xml:space="preserve">3. Variantenfertigung</w:t>
      </w:r>
    </w:p>
    <w:p>
      <w:pPr>
        <w:numPr>
          <w:ilvl w:val="0"/>
          <w:numId w:val="1002"/>
        </w:numPr>
        <w:pStyle w:val="Compact"/>
      </w:pPr>
      <w:r>
        <w:t xml:space="preserve">Stücklisten für Standardgetriebe werden</w:t>
      </w:r>
      <w:r>
        <w:t xml:space="preserve"> </w:t>
      </w:r>
      <w:r>
        <w:rPr>
          <w:bCs/>
          <w:b/>
        </w:rPr>
        <w:t xml:space="preserve">pro Typenschlüssel</w:t>
      </w:r>
      <w:r>
        <w:t xml:space="preserve"> </w:t>
      </w:r>
      <w:r>
        <w:t xml:space="preserve">einzeln angelegt (keine Maximalstückliste, keine Regeln).</w:t>
      </w:r>
    </w:p>
    <w:p>
      <w:pPr>
        <w:numPr>
          <w:ilvl w:val="0"/>
          <w:numId w:val="1002"/>
        </w:numPr>
        <w:pStyle w:val="Compact"/>
      </w:pPr>
      <w:r>
        <w:t xml:space="preserve">Folge: ca. 38.000 Stücklisten, davon geschätzt 60 % nie wieder verwendet.</w:t>
      </w:r>
    </w:p>
    <w:p>
      <w:pPr>
        <w:numPr>
          <w:ilvl w:val="0"/>
          <w:numId w:val="1002"/>
        </w:numPr>
        <w:pStyle w:val="Compact"/>
      </w:pPr>
      <w:r>
        <w:t xml:space="preserve">Konstruktion (Dr. Weber) befürwortet Umstellung auf regelbasierte Variantenstückliste; AV hat Bedenken („wer pflegt die Regeln?“).</w:t>
      </w:r>
    </w:p>
    <w:bookmarkEnd w:id="25"/>
    <w:bookmarkStart w:id="26" w:name="kennzahlen-produktion-schätzung-wiedmann"/>
    <w:p>
      <w:pPr>
        <w:pStyle w:val="Heading2"/>
      </w:pPr>
      <w:r>
        <w:t xml:space="preserve">4. Kennzahlen Produktion (Schätzung Wiedmann)</w:t>
      </w:r>
    </w:p>
    <w:p>
      <w:pPr>
        <w:numPr>
          <w:ilvl w:val="0"/>
          <w:numId w:val="1003"/>
        </w:numPr>
        <w:pStyle w:val="Compact"/>
      </w:pPr>
      <w:r>
        <w:t xml:space="preserve">Fertigungsaufträge p. a.: ca. 16.000 (Singen) + 5.500 (Pilsen)</w:t>
      </w:r>
    </w:p>
    <w:p>
      <w:pPr>
        <w:numPr>
          <w:ilvl w:val="0"/>
          <w:numId w:val="1003"/>
        </w:numPr>
        <w:pStyle w:val="Compact"/>
      </w:pPr>
      <w:r>
        <w:t xml:space="preserve">Arbeitsgänge p. a.: ca. 120.000</w:t>
      </w:r>
    </w:p>
    <w:p>
      <w:pPr>
        <w:numPr>
          <w:ilvl w:val="0"/>
          <w:numId w:val="1003"/>
        </w:numPr>
        <w:pStyle w:val="Compact"/>
      </w:pPr>
      <w:r>
        <w:t xml:space="preserve">BDE-Buchungen pro Tag: ca. 1.800</w:t>
      </w:r>
    </w:p>
    <w:p>
      <w:pPr>
        <w:numPr>
          <w:ilvl w:val="0"/>
          <w:numId w:val="1003"/>
        </w:numPr>
        <w:pStyle w:val="Compact"/>
      </w:pPr>
      <w:r>
        <w:t xml:space="preserve">Anteil Aufträge mit Fehlteilen bei Start: ca. 35 %</w:t>
      </w:r>
    </w:p>
    <w:p>
      <w:pPr>
        <w:numPr>
          <w:ilvl w:val="0"/>
          <w:numId w:val="1003"/>
        </w:numPr>
        <w:pStyle w:val="Compact"/>
      </w:pPr>
      <w:r>
        <w:t xml:space="preserve">Rüstzeitanteil Verzahnung: 22 %</w:t>
      </w:r>
    </w:p>
    <w:bookmarkEnd w:id="26"/>
    <w:bookmarkStart w:id="27" w:name="probleme"/>
    <w:p>
      <w:pPr>
        <w:pStyle w:val="Heading2"/>
      </w:pPr>
      <w:r>
        <w:t xml:space="preserve">5. Probleme</w:t>
      </w:r>
    </w:p>
    <w:p>
      <w:pPr>
        <w:numPr>
          <w:ilvl w:val="0"/>
          <w:numId w:val="1004"/>
        </w:numPr>
        <w:pStyle w:val="Compact"/>
      </w:pPr>
      <w:r>
        <w:t xml:space="preserve">Termine werden zugesagt, ohne Kapazität zu kennen</w:t>
      </w:r>
    </w:p>
    <w:p>
      <w:pPr>
        <w:numPr>
          <w:ilvl w:val="0"/>
          <w:numId w:val="1004"/>
        </w:numPr>
        <w:pStyle w:val="Compact"/>
      </w:pPr>
      <w:r>
        <w:t xml:space="preserve">Engpass Härterei: Ofenchargen nach Werkstoff/Härteverfahren – ERP kennt das nicht</w:t>
      </w:r>
    </w:p>
    <w:p>
      <w:pPr>
        <w:numPr>
          <w:ilvl w:val="0"/>
          <w:numId w:val="1004"/>
        </w:numPr>
        <w:pStyle w:val="Compact"/>
      </w:pPr>
      <w:r>
        <w:t xml:space="preserve">Stücklistenpflege doppelt (PDM + ERP)</w:t>
      </w:r>
    </w:p>
    <w:p>
      <w:pPr>
        <w:numPr>
          <w:ilvl w:val="0"/>
          <w:numId w:val="1004"/>
        </w:numPr>
        <w:pStyle w:val="Compact"/>
      </w:pPr>
      <w:r>
        <w:t xml:space="preserve">Ist-Zeiten unzuverlässig (BDE vergessen, Sammelbuchungen)</w:t>
      </w:r>
    </w:p>
    <w:p>
      <w:pPr>
        <w:numPr>
          <w:ilvl w:val="0"/>
          <w:numId w:val="1004"/>
        </w:numPr>
        <w:pStyle w:val="Compact"/>
      </w:pPr>
      <w:r>
        <w:t xml:space="preserve">Keine Mehrwerksplanung: Bedarf an Pilsen per E-Mail/Excel</w:t>
      </w:r>
    </w:p>
    <w:p>
      <w:pPr>
        <w:numPr>
          <w:ilvl w:val="0"/>
          <w:numId w:val="1004"/>
        </w:numPr>
        <w:pStyle w:val="Compact"/>
      </w:pPr>
      <w:r>
        <w:t xml:space="preserve">Keine Nachkalkulation</w:t>
      </w:r>
    </w:p>
    <w:p>
      <w:pPr>
        <w:numPr>
          <w:ilvl w:val="0"/>
          <w:numId w:val="1004"/>
        </w:numPr>
        <w:pStyle w:val="Compact"/>
      </w:pPr>
      <w:r>
        <w:t xml:space="preserve">Instandhaltung der Maschinen: Excel + Papier, keine Verbindung zu Kapazität</w:t>
      </w:r>
    </w:p>
    <w:bookmarkEnd w:id="27"/>
    <w:bookmarkEnd w:id="28"/>
    <w:sectPr>
      <w:headerReference r:id="rId9" w:type="default"/>
      <w:footerReference r:id="rId10" w:type="default"/>
      <w:pgSz w:h="11906" w:orient="landscape" w:w="16838"/>
      <w:pgMar w:bottom="907" w:left="1020" w:right="1020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