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0.png" ContentType="image/png"/>
  <Override PartName="/word/media/rId3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863605a25bd846c856d1f644955ea0220e6388"/>
    <w:p>
      <w:pPr>
        <w:pStyle w:val="Heading1"/>
      </w:pPr>
      <w:r>
        <w:t xml:space="preserve">Prozessbeschreibungen IST: Procure-to-Pay, Lager &amp; Versand, Service, Record-to-Report</w:t>
      </w:r>
    </w:p>
    <w:p>
      <w:pPr>
        <w:pStyle w:val="FirstParagraph"/>
      </w:pPr>
      <w:r>
        <w:rPr>
          <w:iCs/>
          <w:i/>
        </w:rPr>
        <w:t xml:space="preserve">Sammeldokument, zusammengestellt von L. Hartmann aus Zulieferungen der Key User · Stand 02/2026</w:t>
      </w:r>
      <w:r>
        <w:t xml:space="preserve"> </w:t>
      </w:r>
      <w:r>
        <w:rPr>
          <w:iCs/>
          <w:i/>
        </w:rPr>
        <w:t xml:space="preserve">Hinweis: Qualität und Detaillierungsgrad der Zulieferungen sehr unterschiedlich – bewusst nicht vereinheitlicht.</w:t>
      </w:r>
    </w:p>
    <w:p>
      <w:r>
        <w:pict>
          <v:rect style="width:0;height:1.5pt" o:hralign="center" o:hrstd="t" o:hr="t"/>
        </w:pict>
      </w:r>
    </w:p>
    <w:bookmarkStart w:id="23" w:name="a.-procure-to-pay-zulieferung-t.-frick"/>
    <w:p>
      <w:pPr>
        <w:pStyle w:val="Heading2"/>
      </w:pPr>
      <w:r>
        <w:t xml:space="preserve">A. Procure-to-Pay (Zulieferung T. Frick)</w:t>
      </w:r>
    </w:p>
    <w:p>
      <w:pPr>
        <w:pStyle w:val="FirstParagraph"/>
      </w:pPr>
      <w:r>
        <w:rPr>
          <w:bCs/>
          <w:b/>
        </w:rPr>
        <w:t xml:space="preserve">Eckdaten</w:t>
      </w:r>
      <w:r>
        <w:t xml:space="preserve"> </w:t>
      </w:r>
      <w:r>
        <w:t xml:space="preserve">- Ca. 640 aktive Lieferanten, davon 80 A-Lieferanten (75 % Volumen)</w:t>
      </w:r>
      <w:r>
        <w:t xml:space="preserve"> </w:t>
      </w:r>
      <w:r>
        <w:t xml:space="preserve">- Bestellungen p. a.: ca. 13.500; Bestellpositionen ca. 31.000</w:t>
      </w:r>
      <w:r>
        <w:t xml:space="preserve"> </w:t>
      </w:r>
      <w:r>
        <w:t xml:space="preserve">- Einkaufsvolumen 2025: ca. 39 Mio. €</w:t>
      </w:r>
      <w:r>
        <w:t xml:space="preserve"> </w:t>
      </w:r>
      <w:r>
        <w:t xml:space="preserve">- Rahmenverträge mit ca. 45 Lieferanten (Guss, Zahnräder Roh, Wälzlager, Motoren)</w:t>
      </w:r>
    </w:p>
    <w:p>
      <w:pPr>
        <w:pStyle w:val="BodyText"/>
      </w:pPr>
      <w:r>
        <w:drawing>
          <wp:inline>
            <wp:extent cx="9385300" cy="402644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2P_Einkauf_I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0" cy="4026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Ablauf</w:t>
      </w:r>
      <w:r>
        <w:t xml:space="preserve"> </w:t>
      </w:r>
      <w:r>
        <w:t xml:space="preserve">1. Bedarf aus Nachtlauf KVA-WARE (Bestellvorschläge) oder Bedarfsmeldung per Mail (Gemeinkosten, Werkzeuge).</w:t>
      </w:r>
      <w:r>
        <w:t xml:space="preserve"> </w:t>
      </w:r>
      <w:r>
        <w:t xml:space="preserve">2. Disponent prüft Vorschlag, ändert Mengen „nach Gefühl” (Losgrößen, Staffelpreise).</w:t>
      </w:r>
      <w:r>
        <w:t xml:space="preserve"> </w:t>
      </w:r>
      <w:r>
        <w:t xml:space="preserve">3. Bestellung aus KVA-WARE, Versand als PDF per Mail. Auftragsbestätigungen kommen per Mail, werden</w:t>
      </w:r>
      <w:r>
        <w:t xml:space="preserve"> </w:t>
      </w:r>
      <w:r>
        <w:rPr>
          <w:bCs/>
          <w:b/>
        </w:rPr>
        <w:t xml:space="preserve">nicht systematisch</w:t>
      </w:r>
      <w:r>
        <w:t xml:space="preserve"> </w:t>
      </w:r>
      <w:r>
        <w:t xml:space="preserve">erfasst (geschätzt 40 % erfasst).</w:t>
      </w:r>
      <w:r>
        <w:t xml:space="preserve"> </w:t>
      </w:r>
      <w:r>
        <w:t xml:space="preserve">4. Wareneingang Lager mit Lieferschein; Prüfung QS bei Erstmustern und Gussteilen (Stichprobe).</w:t>
      </w:r>
      <w:r>
        <w:t xml:space="preserve"> </w:t>
      </w:r>
      <w:r>
        <w:t xml:space="preserve">5. Rechnungseingang: Papier/PDF → Scan ELO → manuelle Erfassung in KVA-WARE (Kreditoren) → Freigabe per Laufzettel (!) → Zahlung über Bankprogramm.</w:t>
      </w:r>
      <w:r>
        <w:t xml:space="preserve"> </w:t>
      </w:r>
      <w:r>
        <w:t xml:space="preserve">6. Lieferantenbewertung: einmal jährlich Excel, Termintreue manuell geschätzt.</w:t>
      </w:r>
    </w:p>
    <w:p>
      <w:pPr>
        <w:pStyle w:val="BodyText"/>
      </w:pPr>
      <w:r>
        <w:rPr>
          <w:bCs/>
          <w:b/>
        </w:rPr>
        <w:t xml:space="preserve">Probleme</w:t>
      </w:r>
      <w:r>
        <w:t xml:space="preserve"> </w:t>
      </w:r>
      <w:r>
        <w:t xml:space="preserve">- Keine Rahmenvertragsabrufe im System</w:t>
      </w:r>
      <w:r>
        <w:t xml:space="preserve"> </w:t>
      </w:r>
      <w:r>
        <w:t xml:space="preserve">- Keine Anfrage-/Angebotsvergleiche im System</w:t>
      </w:r>
      <w:r>
        <w:t xml:space="preserve"> </w:t>
      </w:r>
      <w:r>
        <w:t xml:space="preserve">- Fremdbearbeitung (Beistellung) nicht abgebildet</w:t>
      </w:r>
      <w:r>
        <w:t xml:space="preserve"> </w:t>
      </w:r>
      <w:r>
        <w:t xml:space="preserve">- Rechnungsprüfung 3-Way-Match nicht möglich</w:t>
      </w:r>
      <w:r>
        <w:t xml:space="preserve"> </w:t>
      </w:r>
      <w:r>
        <w:t xml:space="preserve">- Preise Metallzuschläge (Kupfer, Stahl) werden manuell nachgerechnet</w:t>
      </w:r>
      <w:r>
        <w:t xml:space="preserve"> </w:t>
      </w:r>
      <w:r>
        <w:t xml:space="preserve">- Lieferkettengesetz (LkSG): betroffen ab 1.000 MA – „noch nicht relevant” (Frick); Kunden fordern trotzdem Nachweise</w:t>
      </w:r>
    </w:p>
    <w:bookmarkEnd w:id="23"/>
    <w:bookmarkStart w:id="27" w:name="X4eb1b3e5f8f7b50554ddeb2882ccaf6fe8f9769"/>
    <w:p>
      <w:pPr>
        <w:pStyle w:val="Heading2"/>
      </w:pPr>
      <w:r>
        <w:t xml:space="preserve">B. Lager &amp; Versand (Zulieferung D. Hummel, handschriftlich, abgetippt)</w:t>
      </w:r>
    </w:p>
    <w:p>
      <w:pPr>
        <w:pStyle w:val="FirstParagraph"/>
      </w:pPr>
      <w:r>
        <w:drawing>
          <wp:inline>
            <wp:extent cx="9385300" cy="426249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ager_Versand_I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0" cy="426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pStyle w:val="Compact"/>
      </w:pPr>
      <w:r>
        <w:t xml:space="preserve">Hauptlager Singen: ca. 4.800 Lagerplätze, chaotisch &amp; fest gemischt, Kardex-Lift (2 Stück) für Kleinteile</w:t>
      </w:r>
    </w:p>
    <w:p>
      <w:pPr>
        <w:numPr>
          <w:ilvl w:val="0"/>
          <w:numId w:val="1001"/>
        </w:numPr>
        <w:pStyle w:val="Compact"/>
      </w:pPr>
      <w:r>
        <w:t xml:space="preserve">Lagerplatz in KVA-WARE nur als Freitextfeld</w:t>
      </w:r>
    </w:p>
    <w:p>
      <w:pPr>
        <w:numPr>
          <w:ilvl w:val="0"/>
          <w:numId w:val="1001"/>
        </w:numPr>
        <w:pStyle w:val="Compact"/>
      </w:pPr>
      <w:r>
        <w:t xml:space="preserve">Inventur: Stichtagsinventur Dezember, 2 Tage Stillstand</w:t>
      </w:r>
    </w:p>
    <w:p>
      <w:pPr>
        <w:numPr>
          <w:ilvl w:val="0"/>
          <w:numId w:val="1001"/>
        </w:numPr>
        <w:pStyle w:val="Compact"/>
      </w:pPr>
      <w:r>
        <w:t xml:space="preserve">Ersatzteillager: separat, Halle 2, „eigentlich auch Hauptlager” (Buchung identisch)</w:t>
      </w:r>
    </w:p>
    <w:p>
      <w:pPr>
        <w:numPr>
          <w:ilvl w:val="0"/>
          <w:numId w:val="1001"/>
        </w:numPr>
        <w:pStyle w:val="Compact"/>
      </w:pPr>
      <w:r>
        <w:t xml:space="preserve">Konsignationslager bei 2 Kunden – Bestände per Telefon/Excel</w:t>
      </w:r>
    </w:p>
    <w:p>
      <w:pPr>
        <w:numPr>
          <w:ilvl w:val="0"/>
          <w:numId w:val="1001"/>
        </w:numPr>
        <w:pStyle w:val="Compact"/>
      </w:pPr>
      <w:r>
        <w:t xml:space="preserve">Versand: ca. 60 Sendungen/Tag (Paket + Spedition), Labels über Access-Tool, Zolldokumente (Export Nicht-EU, Schweiz!) manuell über ATLAS-Dienstleister</w:t>
      </w:r>
    </w:p>
    <w:p>
      <w:pPr>
        <w:numPr>
          <w:ilvl w:val="0"/>
          <w:numId w:val="1001"/>
        </w:numPr>
        <w:pStyle w:val="Compact"/>
      </w:pPr>
      <w:r>
        <w:t xml:space="preserve">Seriennummern: werden</w:t>
      </w:r>
      <w:r>
        <w:t xml:space="preserve"> </w:t>
      </w:r>
      <w:r>
        <w:rPr>
          <w:bCs/>
          <w:b/>
        </w:rPr>
        <w:t xml:space="preserve">nur bei Sonderantrieben</w:t>
      </w:r>
      <w:r>
        <w:t xml:space="preserve"> </w:t>
      </w:r>
      <w:r>
        <w:t xml:space="preserve">vergeben („bei Standard brauchen wir das nicht, das steht auf dem Typenschild”)</w:t>
      </w:r>
    </w:p>
    <w:p>
      <w:pPr>
        <w:numPr>
          <w:ilvl w:val="0"/>
          <w:numId w:val="1001"/>
        </w:numPr>
        <w:pStyle w:val="Compact"/>
      </w:pPr>
      <w:r>
        <w:t xml:space="preserve">Chargen: keine</w:t>
      </w:r>
    </w:p>
    <w:p>
      <w:pPr>
        <w:numPr>
          <w:ilvl w:val="0"/>
          <w:numId w:val="1001"/>
        </w:numPr>
        <w:pStyle w:val="Compact"/>
      </w:pPr>
      <w:r>
        <w:t xml:space="preserve">Scanner: keine („wäre schön”)</w:t>
      </w:r>
    </w:p>
    <w:p>
      <w:pPr>
        <w:numPr>
          <w:ilvl w:val="0"/>
          <w:numId w:val="1001"/>
        </w:numPr>
        <w:pStyle w:val="Compact"/>
      </w:pPr>
      <w:r>
        <w:t xml:space="preserve">Pilsen-Bestände: nicht sichtbar</w:t>
      </w:r>
    </w:p>
    <w:bookmarkEnd w:id="27"/>
    <w:bookmarkStart w:id="31" w:name="X8e91d3d2eafae2a1629e9545c516575d709a893"/>
    <w:p>
      <w:pPr>
        <w:pStyle w:val="Heading2"/>
      </w:pPr>
      <w:r>
        <w:t xml:space="preserve">C. Service &amp; After Sales (Zulieferung A. Seitz)</w:t>
      </w:r>
    </w:p>
    <w:p>
      <w:pPr>
        <w:pStyle w:val="FirstParagraph"/>
      </w:pPr>
      <w:r>
        <w:rPr>
          <w:bCs/>
          <w:b/>
        </w:rPr>
        <w:t xml:space="preserve">Leistungen</w:t>
      </w:r>
      <w:r>
        <w:t xml:space="preserve"> </w:t>
      </w:r>
      <w:r>
        <w:t xml:space="preserve">- Ersatzteilverkauf (~ 2.200 Aufträge p. a.)</w:t>
      </w:r>
      <w:r>
        <w:t xml:space="preserve"> </w:t>
      </w:r>
      <w:r>
        <w:t xml:space="preserve">- Reparatur/Instandsetzung im Werk (~ 650 p. a.)</w:t>
      </w:r>
      <w:r>
        <w:t xml:space="preserve"> </w:t>
      </w:r>
      <w:r>
        <w:t xml:space="preserve">- Außendiensteinsätze (6 Servicetechniker, ~ 900 Einsätze p. a.)</w:t>
      </w:r>
      <w:r>
        <w:t xml:space="preserve"> </w:t>
      </w:r>
      <w:r>
        <w:t xml:space="preserve">- Wartungsverträge (aktuell 41, Ziel 2030: 300)</w:t>
      </w:r>
      <w:r>
        <w:t xml:space="preserve"> </w:t>
      </w:r>
      <w:r>
        <w:t xml:space="preserve">- Retrofit von Altantrieben</w:t>
      </w:r>
    </w:p>
    <w:p>
      <w:pPr>
        <w:pStyle w:val="BodyText"/>
      </w:pPr>
      <w:r>
        <w:drawing>
          <wp:inline>
            <wp:extent cx="9385300" cy="349617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ervice_Reparatur_IS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0" cy="3496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Ablauf Reparatur</w:t>
      </w:r>
      <w:r>
        <w:t xml:space="preserve"> </w:t>
      </w:r>
      <w:r>
        <w:t xml:space="preserve">1. Kunde meldet Schaden (Telefon/Mail) → Excel „Repa-Liste”.</w:t>
      </w:r>
      <w:r>
        <w:t xml:space="preserve"> </w:t>
      </w:r>
      <w:r>
        <w:t xml:space="preserve">2. Gerät kommt an → Identifikation über Typenschild; Suche der Originalstückliste in KVA-WARE über Auftragsnummer (wenn bekannt), sonst Archiv.</w:t>
      </w:r>
      <w:r>
        <w:t xml:space="preserve"> </w:t>
      </w:r>
      <w:r>
        <w:t xml:space="preserve">3. Befundung, Kostenvoranschlag (Word).</w:t>
      </w:r>
      <w:r>
        <w:t xml:space="preserve"> </w:t>
      </w:r>
      <w:r>
        <w:t xml:space="preserve">4. Freigabe Kunde → Auftrag in KVA-WARE als Ersatzteilauftrag „Reparatur pauschal”.</w:t>
      </w:r>
      <w:r>
        <w:t xml:space="preserve"> </w:t>
      </w:r>
      <w:r>
        <w:t xml:space="preserve">5. Garantie/Kulanz-Entscheidung per Mail mit Vertrieb.</w:t>
      </w:r>
    </w:p>
    <w:p>
      <w:pPr>
        <w:pStyle w:val="BodyText"/>
      </w:pPr>
      <w:r>
        <w:rPr>
          <w:bCs/>
          <w:b/>
        </w:rPr>
        <w:t xml:space="preserve">Probleme</w:t>
      </w:r>
      <w:r>
        <w:t xml:space="preserve"> </w:t>
      </w:r>
      <w:r>
        <w:t xml:space="preserve">- Keine „Installed Base” – wir wissen nicht, welche Getriebe wo im Einsatz sind (ca. 180.000 ausgelieferte Antriebe seit 1990)</w:t>
      </w:r>
      <w:r>
        <w:t xml:space="preserve"> </w:t>
      </w:r>
      <w:r>
        <w:t xml:space="preserve">- Servicetechniker: Einsatzplanung Outlook, Berichte Papier, Abrechnung verzögert (Ø 23 Tage)</w:t>
      </w:r>
      <w:r>
        <w:t xml:space="preserve"> </w:t>
      </w:r>
      <w:r>
        <w:t xml:space="preserve">- Keine mobile Lösung</w:t>
      </w:r>
      <w:r>
        <w:t xml:space="preserve"> </w:t>
      </w:r>
      <w:r>
        <w:t xml:space="preserve">- Garantiefälle nicht auswertbar → Fehleranalyse für Konstruktion fehlt</w:t>
      </w:r>
      <w:r>
        <w:t xml:space="preserve"> </w:t>
      </w:r>
      <w:r>
        <w:t xml:space="preserve">- Seriennummer</w:t>
      </w:r>
      <w:r>
        <w:t xml:space="preserve"> </w:t>
      </w:r>
      <w:r>
        <w:rPr>
          <w:bCs/>
          <w:b/>
        </w:rPr>
        <w:t xml:space="preserve">unbedingt</w:t>
      </w:r>
      <w:r>
        <w:t xml:space="preserve"> </w:t>
      </w:r>
      <w:r>
        <w:t xml:space="preserve">für alle Antriebe nötig (Widerspruch zu Lager bekannt, „muss GF entscheiden”)</w:t>
      </w:r>
    </w:p>
    <w:bookmarkEnd w:id="31"/>
    <w:bookmarkStart w:id="35" w:name="Xfbded1d2ca5b92b4ab8b5183d23d03db4370b09"/>
    <w:p>
      <w:pPr>
        <w:pStyle w:val="Heading2"/>
      </w:pPr>
      <w:r>
        <w:t xml:space="preserve">D. Record-to-Report (Zulieferung S. Haller)</w:t>
      </w:r>
    </w:p>
    <w:p>
      <w:pPr>
        <w:pStyle w:val="FirstParagraph"/>
      </w:pPr>
      <w:r>
        <w:drawing>
          <wp:inline>
            <wp:extent cx="9385300" cy="370059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2R_Monatsabschluss_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0" cy="370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t xml:space="preserve">Debitoren/Kreditoren in KVA-WARE; Hauptbuch, Anlagen, Abschluss in DATEV</w:t>
      </w:r>
    </w:p>
    <w:p>
      <w:pPr>
        <w:numPr>
          <w:ilvl w:val="0"/>
          <w:numId w:val="1002"/>
        </w:numPr>
        <w:pStyle w:val="Compact"/>
      </w:pPr>
      <w:r>
        <w:t xml:space="preserve">Kostenrechnung: Kostenstellenrechnung in Excel aus DATEV-Export; keine Kostenträgerrechnung</w:t>
      </w:r>
    </w:p>
    <w:p>
      <w:pPr>
        <w:numPr>
          <w:ilvl w:val="0"/>
          <w:numId w:val="1002"/>
        </w:numPr>
        <w:pStyle w:val="Compact"/>
      </w:pPr>
      <w:r>
        <w:t xml:space="preserve">Konzernkonsolidierung (3 Gesellschaften) in Excel; Intercompany-Abstimmung Pilsen manuell</w:t>
      </w:r>
    </w:p>
    <w:p>
      <w:pPr>
        <w:numPr>
          <w:ilvl w:val="0"/>
          <w:numId w:val="1002"/>
        </w:numPr>
        <w:pStyle w:val="Compact"/>
      </w:pPr>
      <w:r>
        <w:t xml:space="preserve">Monatsabschluss Singen: 8 AT, Gruppe 14 AT –</w:t>
      </w:r>
      <w:r>
        <w:t xml:space="preserve"> </w:t>
      </w:r>
      <w:r>
        <w:rPr>
          <w:bCs/>
          <w:b/>
        </w:rPr>
        <w:t xml:space="preserve">Ziel 5 AT</w:t>
      </w:r>
    </w:p>
    <w:p>
      <w:pPr>
        <w:numPr>
          <w:ilvl w:val="0"/>
          <w:numId w:val="1002"/>
        </w:numPr>
        <w:pStyle w:val="Compact"/>
      </w:pPr>
      <w:r>
        <w:t xml:space="preserve">Liquiditätsplanung: Excel, wöchentlich</w:t>
      </w:r>
    </w:p>
    <w:p>
      <w:pPr>
        <w:numPr>
          <w:ilvl w:val="0"/>
          <w:numId w:val="1002"/>
        </w:numPr>
        <w:pStyle w:val="Compact"/>
      </w:pPr>
      <w:r>
        <w:t xml:space="preserve">Anforderungen: GoBD, Verfahrensdokumentation (fehlt aktuell!), E-Rechnung, CZ-Steuerrecht (Kontrollmeldung „kontrolní hlášení”), Schweizer MWST &amp; QR-Rechnung</w:t>
      </w:r>
    </w:p>
    <w:p>
      <w:pPr>
        <w:numPr>
          <w:ilvl w:val="0"/>
          <w:numId w:val="1002"/>
        </w:numPr>
        <w:pStyle w:val="Compact"/>
      </w:pPr>
      <w:r>
        <w:t xml:space="preserve">HGB-Abschluss, kein IFRS –</w:t>
      </w:r>
      <w:r>
        <w:t xml:space="preserve"> </w:t>
      </w:r>
      <w:r>
        <w:rPr>
          <w:bCs/>
          <w:b/>
        </w:rPr>
        <w:t xml:space="preserve">aber:</w:t>
      </w:r>
      <w:r>
        <w:t xml:space="preserve"> </w:t>
      </w:r>
      <w:r>
        <w:t xml:space="preserve">Beirat diskutiert Kapitalmarkt-/Investoreneinstieg bis 2030 → IFRS-Fähigkeit „wäre klug”</w:t>
      </w:r>
    </w:p>
    <w:p>
      <w:pPr>
        <w:numPr>
          <w:ilvl w:val="0"/>
          <w:numId w:val="1002"/>
        </w:numPr>
        <w:pStyle w:val="Compact"/>
      </w:pPr>
      <w:r>
        <w:t xml:space="preserve">Wunsch: Rechnungseingang digital mit Workflow-Freigabe</w:t>
      </w:r>
    </w:p>
    <w:p>
      <w:pPr>
        <w:numPr>
          <w:ilvl w:val="0"/>
          <w:numId w:val="1002"/>
        </w:numPr>
        <w:pStyle w:val="Compact"/>
      </w:pPr>
      <w:r>
        <w:t xml:space="preserve">Wunsch: Planung/Budgetierung im System (aktuell Excel, 6 Wochen Aufwand)</w:t>
      </w:r>
    </w:p>
    <w:bookmarkEnd w:id="35"/>
    <w:bookmarkEnd w:id="36"/>
    <w:sectPr>
      <w:headerReference r:id="rId9" w:type="default"/>
      <w:footerReference r:id="rId10" w:type="default"/>
      <w:pgSz w:h="11906" w:orient="landscape" w:w="16838"/>
      <w:pgMar w:bottom="907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2026-10-28T17:34:04Z</dcterms:created>
  <dcterms:modified xsi:type="dcterms:W3CDTF">2026-10-28T17:34:04Z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