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8"/>
        </w:rPr>
        <w:t>Artefakt D – KI-Nutzungsprotokoll · Fallstudie KVA ERP 2028</w:t>
      </w:r>
    </w:p>
    <w:p>
      <w:r>
        <w:t>Gruppe: [Namen / Matrikelnummern] · Stand 29.10.2026 · Vor Abgabe vom Team zu ergänzen und zu prüfen (Abschnitt 4)</w:t>
      </w:r>
    </w:p>
    <w:p>
      <w:r>
        <w:rPr>
          <w:b/>
          <w:color w:val="1F4E79"/>
          <w:sz w:val="22"/>
        </w:rPr>
        <w:t>1  Eingesetzte Tools</w:t>
      </w:r>
    </w:p>
    <w:p>
      <w:r>
        <w:t>Claude (Anthropic) in Claude Code: Lesen des Fallpakets (Word, PDF, Bilder, XLSX, CSV), Strukturierung, Websuche, Erzeugen von XLSX/PPTX per Python-Skript (openpyxl, python-pptx). LibreOffice zum Nachrechnen der Formeln und zur PDF-Ausgabe.</w:t>
      </w:r>
    </w:p>
    <w:p>
      <w:r>
        <w:rPr>
          <w:b/>
          <w:color w:val="1F4E79"/>
          <w:sz w:val="22"/>
        </w:rPr>
        <w:t>2  Wichtigste Prompts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Prompt (sinngemäß)</w:t>
            </w:r>
          </w:p>
        </w:tc>
        <w:tc>
          <w:tcPr>
            <w:tcW w:type="dxa" w:w="5100"/>
          </w:tcPr>
          <w:p>
            <w:r>
              <w:t>Ergebnis / Verwendung</w:t>
            </w:r>
          </w:p>
        </w:tc>
      </w:tr>
      <w:tr>
        <w:tc>
          <w:tcPr>
            <w:tcW w:type="dxa" w:w="5100"/>
          </w:tcPr>
          <w:p>
            <w:r>
              <w:t>„Kannst du das mal lesen, was man alles braucht?“</w:t>
            </w:r>
          </w:p>
        </w:tc>
        <w:tc>
          <w:tcPr>
            <w:tcW w:type="dxa" w:w="5100"/>
          </w:tcPr>
          <w:p>
            <w:r>
              <w:t>Zusammenfassung der Aufgabenstellung (Artefakte A–D, Bewertung, Termine)</w:t>
            </w:r>
          </w:p>
        </w:tc>
      </w:tr>
      <w:tr>
        <w:tc>
          <w:tcPr>
            <w:tcW w:type="dxa" w:w="5100"/>
          </w:tcPr>
          <w:p>
            <w:r>
              <w:t>„Kannst du erstmal ein Konzept machen, wie man das machen soll?“</w:t>
            </w:r>
          </w:p>
        </w:tc>
        <w:tc>
          <w:tcPr>
            <w:tcW w:type="dxa" w:w="5100"/>
          </w:tcPr>
          <w:p>
            <w:r>
              <w:t>Vorgehen in 5 Phasen; Struktur der Excel-Blätter</w:t>
            </w:r>
          </w:p>
        </w:tc>
      </w:tr>
      <w:tr>
        <w:tc>
          <w:tcPr>
            <w:tcW w:type="dxa" w:w="5100"/>
          </w:tcPr>
          <w:p>
            <w:r>
              <w:t>„Kannst du das einmal komplett lösen?“</w:t>
            </w:r>
          </w:p>
        </w:tc>
        <w:tc>
          <w:tcPr>
            <w:tcW w:type="dxa" w:w="5100"/>
          </w:tcPr>
          <w:p>
            <w:r>
              <w:t>Widerspruchsliste, Klassifizierung aller 111 Anforderungen, Longlist/Shortlist, NWA, TCO, Folien</w:t>
            </w:r>
          </w:p>
        </w:tc>
      </w:tr>
      <w:tr>
        <w:tc>
          <w:tcPr>
            <w:tcW w:type="dxa" w:w="5100"/>
          </w:tcPr>
          <w:p>
            <w:r>
              <w:t>Websuchen u. a.: „E-Rechnung Pflicht Versand 2027 800.000“, „Business Central Czech localization“, „IFS Czech partner“, „proALPHA Tschechien“, „SAP S/4HANA Public Czech e-invoicing“, „NIS2UmsuCG in Kraft“</w:t>
            </w:r>
          </w:p>
        </w:tc>
        <w:tc>
          <w:tcPr>
            <w:tcW w:type="dxa" w:w="5100"/>
          </w:tcPr>
          <w:p>
            <w:r>
              <w:t>Prüfung von Herstelleraussagen und Rechtsfristen gegen Primär-/Sekundärquellen</w:t>
            </w:r>
          </w:p>
        </w:tc>
      </w:tr>
    </w:tbl>
    <w:p>
      <w:r>
        <w:rPr>
          <w:b/>
          <w:color w:val="1F4E79"/>
          <w:sz w:val="22"/>
        </w:rPr>
        <w:t>3  Wie die Ergebnisse geprüft wurden</w:t>
      </w:r>
    </w:p>
    <w:p>
      <w:pPr>
        <w:pStyle w:val="ListBullet"/>
      </w:pPr>
      <w:r>
        <w:t>Widersprüche nicht glätten: Jede Widerspruchszeile enthält BEIDE Aussagen wörtlich mit Fundstelle (Dokument, Interview-Nr., Datum) – Gegenprobe am Originaldokument.</w:t>
      </w:r>
    </w:p>
    <w:p>
      <w:pPr>
        <w:pStyle w:val="ListBullet"/>
      </w:pPr>
      <w:r>
        <w:t>Vollständigkeit: Skript prüft, dass alle 111 IDs der Rohfassung klassifiziert sind (keine fehlt, keine erfunden).</w:t>
      </w:r>
    </w:p>
    <w:p>
      <w:pPr>
        <w:pStyle w:val="ListBullet"/>
      </w:pPr>
      <w:r>
        <w:t>Rechenlogik: TCO und Nutzwert einmal in Python und einmal als Excel-Formel berechnet; LibreOffice-Neuberechnung ergab identische Werte, keine Formelfehler.</w:t>
      </w:r>
    </w:p>
    <w:p>
      <w:pPr>
        <w:pStyle w:val="ListBullet"/>
      </w:pPr>
      <w:r>
        <w:t>Herstellerangaben: per Websuche geprüft. Bestätigt: CZ-Lokalisierung Business Central (Microsoft Learn), BC-Preise ab 11/2025 (nur USD-Sekundärquellen), IFS-Partner in CZ, SAP-KBA zu fehlendem E-Invoicing CZ. NICHT bestätigt: CZ-Präsenz von proALPHA/abas, CZ-Lokalisierung von APplus → als „offen/im RFI prüfen“ markiert statt als Fakt.</w:t>
      </w:r>
    </w:p>
    <w:p>
      <w:pPr>
        <w:pStyle w:val="ListBullet"/>
      </w:pPr>
      <w:r>
        <w:t>Korrektur durch Recherche: Fallpaket nennt E-Rechnungs-Versandpflicht „2027/2028 offen“ – Recherche ergab 01.01.2027 für KVA (Umsatz &gt; 800 T€) → neue Sofortmaßnahme.</w:t>
      </w:r>
    </w:p>
    <w:p>
      <w:pPr>
        <w:pStyle w:val="ListBullet"/>
      </w:pPr>
      <w:r>
        <w:t>Preise APplus/IFS sind nicht öffentlich: alle Werte als ANNAHME (gelb) gekennzeichnet; keine von der KI „erfundenen“ Listenpreise.</w:t>
      </w:r>
    </w:p>
    <w:p>
      <w:r>
        <w:rPr>
          <w:b/>
          <w:color w:val="1F4E79"/>
          <w:sz w:val="22"/>
        </w:rPr>
        <w:t>4  Grenzen und Prüfschritte, die das Team selbst erledigen muss</w:t>
      </w:r>
    </w:p>
    <w:p>
      <w:pPr>
        <w:pStyle w:val="ListBullet"/>
      </w:pPr>
      <w:r>
        <w:t>Punktvergabe der Nutzwertanalyse ist eine begründete Einschätzung, keine Messung – im Team diskutieren und ggf. anpassen.</w:t>
      </w:r>
    </w:p>
    <w:p>
      <w:pPr>
        <w:pStyle w:val="ListBullet"/>
      </w:pPr>
      <w:r>
        <w:t>EUR-Preise für Business Central bei Microsoft bzw. einem CSP-Partner nachschlagen; BMF-Schreiben zur E-Rechnung im Original prüfen.</w:t>
      </w:r>
    </w:p>
    <w:p>
      <w:pPr>
        <w:pStyle w:val="ListBullet"/>
      </w:pPr>
      <w:r>
        <w:t>NIS2-Betroffenheit (Annahme: direkt betroffen als Hersteller mit ≥ 250 MA) ist keine Rechtsberatung.</w:t>
      </w:r>
    </w:p>
    <w:p>
      <w:pPr>
        <w:pStyle w:val="ListBullet"/>
      </w:pPr>
      <w:r>
        <w:t>Folien und Excel vor der Präsentation selbst durchgehen; jede Zahl muss auf Rückfrage erklärbar sein. Rückfragen an die GF im Labor (Anhang A6) stellen.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