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12, 2023 (03:44:57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rPr>
          <w:iCs/>
          <w:i/>
        </w:rP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pStyle w:val="FirstParagraph"/>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2"/>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2"/>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statement</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2"/>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3"/>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3"/>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3"/>
        </w:numPr>
      </w:pPr>
      <w:r>
        <w:t xml:space="preserve">Do these cases need an explicit cast, or will an implicit conversion work? Try them in your IDE to check your answers!</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4"/>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2023-01-12T20:45:19Z</dcterms:created>
  <dcterms:modified xsi:type="dcterms:W3CDTF">2023-01-12T20:45:19Z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