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99383" w14:textId="77777777" w:rsidR="006015D1" w:rsidRPr="00B4280D" w:rsidRDefault="006015D1" w:rsidP="006015D1">
      <w:pPr>
        <w:pStyle w:val="Heading1"/>
      </w:pPr>
      <w:r w:rsidRPr="00B4280D">
        <w:t xml:space="preserve">What a Book Is </w:t>
      </w:r>
    </w:p>
    <w:p w14:paraId="454CE799" w14:textId="77777777" w:rsidR="006015D1" w:rsidRPr="00B4280D" w:rsidRDefault="006015D1" w:rsidP="006015D1">
      <w:pPr>
        <w:pStyle w:val="Heading3"/>
      </w:pPr>
      <w:r w:rsidRPr="00B4280D">
        <w:t xml:space="preserve">Building a vocabulary and contextual knowledge for the analysis. </w:t>
      </w:r>
    </w:p>
    <w:p w14:paraId="325DBEB6" w14:textId="77777777" w:rsidR="006015D1" w:rsidRPr="00B4280D" w:rsidRDefault="006015D1" w:rsidP="006015D1">
      <w:pPr>
        <w:pStyle w:val="NormalWeb"/>
        <w:ind w:left="360"/>
        <w:rPr>
          <w:rFonts w:ascii="Arial" w:hAnsi="Arial" w:cs="Arial"/>
        </w:rPr>
      </w:pPr>
      <w:r w:rsidRPr="00B4280D">
        <w:rPr>
          <w:rFonts w:ascii="Arial" w:hAnsi="Arial" w:cs="Arial"/>
        </w:rPr>
        <w:t>“In the old art the writer writes texts.</w:t>
      </w:r>
      <w:r w:rsidRPr="00B4280D">
        <w:rPr>
          <w:rFonts w:ascii="Arial" w:hAnsi="Arial" w:cs="Arial"/>
        </w:rPr>
        <w:br/>
        <w:t>In the new art the writer makes books.”</w:t>
      </w:r>
    </w:p>
    <w:p w14:paraId="516A15B2" w14:textId="77777777" w:rsidR="006015D1" w:rsidRPr="00B4280D" w:rsidRDefault="006015D1" w:rsidP="006015D1">
      <w:pPr>
        <w:pStyle w:val="NormalWeb"/>
        <w:numPr>
          <w:ilvl w:val="0"/>
          <w:numId w:val="1"/>
        </w:numPr>
        <w:ind w:left="108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r w:rsidRPr="00B4280D">
        <w:rPr>
          <w:rFonts w:ascii="Arial" w:hAnsi="Arial" w:cs="Arial"/>
        </w:rPr>
        <w:t xml:space="preserve"> </w:t>
      </w:r>
    </w:p>
    <w:p w14:paraId="6DCF35BD" w14:textId="298209DA" w:rsidR="006015D1" w:rsidRPr="00B4280D" w:rsidRDefault="006015D1" w:rsidP="006015D1">
      <w:pPr>
        <w:spacing w:after="0"/>
        <w:ind w:firstLine="360"/>
        <w:rPr>
          <w:rFonts w:ascii="Arial" w:hAnsi="Arial" w:cs="Arial"/>
        </w:rPr>
      </w:pPr>
      <w:r w:rsidRPr="00B4280D">
        <w:rPr>
          <w:rFonts w:ascii="Arial" w:hAnsi="Arial" w:cs="Arial"/>
        </w:rPr>
        <w:t xml:space="preserve">“The New Art of Making Books,” is a conceptual manifesto published in 1975 in Europe that draws from lines of thought associated with linguistics, literature, concrete </w:t>
      </w:r>
      <w:r w:rsidRPr="00B4280D">
        <w:rPr>
          <w:rFonts w:ascii="Arial" w:hAnsi="Arial" w:cs="Arial"/>
        </w:rPr>
        <w:t>poetry</w:t>
      </w:r>
      <w:r w:rsidRPr="00B4280D">
        <w:rPr>
          <w:rFonts w:ascii="Arial" w:hAnsi="Arial" w:cs="Arial"/>
        </w:rPr>
        <w:t xml:space="preserve">, and the Fluxus movement. A structural motif throughout this essay is the parallel conversation outlining what the “old art” of making books is and asserting a new approach to the medium. Drawing on the general perceptions of books, </w:t>
      </w:r>
      <w:proofErr w:type="spellStart"/>
      <w:r w:rsidRPr="00B4280D">
        <w:rPr>
          <w:rFonts w:ascii="Arial" w:hAnsi="Arial" w:cs="Arial"/>
        </w:rPr>
        <w:t>Carrión</w:t>
      </w:r>
      <w:proofErr w:type="spellEnd"/>
      <w:r w:rsidRPr="00B4280D">
        <w:rPr>
          <w:rFonts w:ascii="Arial" w:hAnsi="Arial" w:cs="Arial"/>
        </w:rPr>
        <w:t xml:space="preserve"> identifies that in a traditional book there is a distinction between the author of the text and the creator of the physical book. In the new art, the author and creator are one.</w:t>
      </w:r>
    </w:p>
    <w:p w14:paraId="414D78F7" w14:textId="77777777" w:rsidR="006015D1" w:rsidRPr="00B4280D" w:rsidRDefault="006015D1" w:rsidP="006015D1">
      <w:pPr>
        <w:spacing w:after="0"/>
        <w:rPr>
          <w:rFonts w:ascii="Arial" w:hAnsi="Arial" w:cs="Arial"/>
        </w:rPr>
      </w:pPr>
    </w:p>
    <w:p w14:paraId="54266562" w14:textId="77777777" w:rsidR="006015D1" w:rsidRPr="00B4280D" w:rsidRDefault="006015D1" w:rsidP="006015D1">
      <w:pPr>
        <w:spacing w:after="0"/>
        <w:ind w:left="360"/>
        <w:rPr>
          <w:rFonts w:ascii="Arial" w:hAnsi="Arial" w:cs="Arial"/>
        </w:rPr>
      </w:pPr>
      <w:r w:rsidRPr="00B4280D">
        <w:rPr>
          <w:rFonts w:ascii="Arial" w:hAnsi="Arial" w:cs="Arial"/>
          <w:b/>
          <w:bCs/>
        </w:rPr>
        <w:t>“</w:t>
      </w:r>
      <w:r w:rsidRPr="00B4280D">
        <w:rPr>
          <w:rFonts w:ascii="Arial" w:hAnsi="Arial" w:cs="Arial"/>
        </w:rPr>
        <w:t>A book may be the accidental container of a text…”</w:t>
      </w:r>
    </w:p>
    <w:p w14:paraId="600C4FA5" w14:textId="77777777" w:rsidR="006015D1" w:rsidRPr="00B4280D" w:rsidRDefault="006015D1" w:rsidP="006015D1">
      <w:pPr>
        <w:pStyle w:val="ListParagraph"/>
        <w:numPr>
          <w:ilvl w:val="0"/>
          <w:numId w:val="1"/>
        </w:numPr>
        <w:spacing w:after="0"/>
        <w:ind w:left="1080"/>
        <w:rPr>
          <w:rFonts w:ascii="Arial" w:hAnsi="Arial" w:cs="Arial"/>
          <w:i/>
          <w:iCs/>
        </w:rPr>
      </w:pPr>
      <w:r w:rsidRPr="00B4280D">
        <w:rPr>
          <w:rFonts w:ascii="Arial" w:hAnsi="Arial" w:cs="Arial"/>
          <w:i/>
          <w:iCs/>
        </w:rPr>
        <w:t xml:space="preserve">Ulises </w:t>
      </w:r>
      <w:proofErr w:type="spellStart"/>
      <w:r w:rsidRPr="00B4280D">
        <w:rPr>
          <w:rFonts w:ascii="Arial" w:hAnsi="Arial" w:cs="Arial"/>
          <w:i/>
          <w:iCs/>
        </w:rPr>
        <w:t>Carrión</w:t>
      </w:r>
      <w:proofErr w:type="spellEnd"/>
    </w:p>
    <w:p w14:paraId="53584E1F" w14:textId="77777777" w:rsidR="006015D1" w:rsidRPr="00B4280D" w:rsidRDefault="006015D1" w:rsidP="006015D1">
      <w:pPr>
        <w:spacing w:after="0"/>
        <w:rPr>
          <w:rFonts w:ascii="Arial" w:hAnsi="Arial" w:cs="Arial"/>
        </w:rPr>
      </w:pPr>
    </w:p>
    <w:p w14:paraId="7DB9EBA7" w14:textId="77777777" w:rsidR="006015D1" w:rsidRPr="00B4280D" w:rsidRDefault="006015D1" w:rsidP="006015D1">
      <w:pPr>
        <w:spacing w:after="0"/>
        <w:ind w:firstLine="720"/>
        <w:rPr>
          <w:rFonts w:ascii="Arial" w:hAnsi="Arial" w:cs="Arial"/>
        </w:rPr>
      </w:pPr>
      <w:r w:rsidRPr="00B4280D">
        <w:rPr>
          <w:rFonts w:ascii="Arial" w:hAnsi="Arial" w:cs="Arial"/>
        </w:rPr>
        <w:t xml:space="preserve">What may sound like a </w:t>
      </w:r>
      <w:r>
        <w:rPr>
          <w:rFonts w:ascii="Arial" w:hAnsi="Arial" w:cs="Arial"/>
        </w:rPr>
        <w:t>cynical</w:t>
      </w:r>
      <w:r w:rsidRPr="00B4280D">
        <w:rPr>
          <w:rFonts w:ascii="Arial" w:hAnsi="Arial" w:cs="Arial"/>
        </w:rPr>
        <w:t xml:space="preserve"> statement about books holds a deep truth about the evolution of the book</w:t>
      </w:r>
      <w:r>
        <w:rPr>
          <w:rFonts w:ascii="Arial" w:hAnsi="Arial" w:cs="Arial"/>
        </w:rPr>
        <w:t xml:space="preserve"> </w:t>
      </w:r>
      <w:r w:rsidRPr="00B4280D">
        <w:rPr>
          <w:rFonts w:ascii="Arial" w:hAnsi="Arial" w:cs="Arial"/>
        </w:rPr>
        <w:t xml:space="preserve">form. In Amaranth Borsuk’s, “The Book,” she writes that a book is a “portable data storage and distribution method.” From the clay tablets of Sumer to the new releases of Getty Publications, books have been used to hold information and tell a story. A very </w:t>
      </w:r>
      <w:r>
        <w:rPr>
          <w:rFonts w:ascii="Arial" w:hAnsi="Arial" w:cs="Arial"/>
        </w:rPr>
        <w:t>abbreviated</w:t>
      </w:r>
      <w:r w:rsidRPr="00B4280D">
        <w:rPr>
          <w:rFonts w:ascii="Arial" w:hAnsi="Arial" w:cs="Arial"/>
        </w:rPr>
        <w:t xml:space="preserve"> description for the evolution to the codex</w:t>
      </w:r>
      <w:r w:rsidRPr="00B4280D">
        <w:rPr>
          <w:rStyle w:val="FootnoteReference"/>
          <w:rFonts w:ascii="Arial" w:hAnsi="Arial" w:cs="Arial"/>
        </w:rPr>
        <w:footnoteReference w:id="1"/>
      </w:r>
      <w:r w:rsidRPr="00B4280D">
        <w:rPr>
          <w:rFonts w:ascii="Arial" w:hAnsi="Arial" w:cs="Arial"/>
        </w:rPr>
        <w:t xml:space="preserve"> proceeds as follows: </w:t>
      </w:r>
    </w:p>
    <w:p w14:paraId="60925130" w14:textId="77777777" w:rsidR="006015D1" w:rsidRDefault="006015D1" w:rsidP="006015D1">
      <w:pPr>
        <w:spacing w:after="0"/>
        <w:jc w:val="center"/>
        <w:rPr>
          <w:rFonts w:ascii="Arial" w:hAnsi="Arial" w:cs="Arial"/>
        </w:rPr>
      </w:pPr>
    </w:p>
    <w:p w14:paraId="68419173" w14:textId="77777777" w:rsidR="006015D1" w:rsidRPr="00B4280D" w:rsidRDefault="006015D1" w:rsidP="006015D1">
      <w:pPr>
        <w:spacing w:after="0"/>
        <w:jc w:val="center"/>
        <w:rPr>
          <w:rFonts w:ascii="Arial" w:hAnsi="Arial" w:cs="Arial"/>
        </w:rPr>
      </w:pPr>
      <w:r w:rsidRPr="00B4280D">
        <w:rPr>
          <w:rFonts w:ascii="Arial" w:hAnsi="Arial" w:cs="Arial"/>
        </w:rPr>
        <w:t>Clay Tablet</w:t>
      </w:r>
    </w:p>
    <w:p w14:paraId="3675E203" w14:textId="77777777" w:rsidR="006015D1" w:rsidRPr="00B4280D" w:rsidRDefault="006015D1" w:rsidP="006015D1">
      <w:pPr>
        <w:spacing w:after="0"/>
        <w:jc w:val="center"/>
        <w:rPr>
          <w:rFonts w:ascii="Arial" w:hAnsi="Arial" w:cs="Arial"/>
        </w:rPr>
      </w:pPr>
      <w:r w:rsidRPr="00B4280D">
        <w:rPr>
          <w:rFonts w:ascii="Arial" w:hAnsi="Arial" w:cs="Arial"/>
        </w:rPr>
        <w:t>|</w:t>
      </w:r>
    </w:p>
    <w:p w14:paraId="636C62E2" w14:textId="77777777" w:rsidR="006015D1" w:rsidRPr="00B4280D" w:rsidRDefault="006015D1" w:rsidP="006015D1">
      <w:pPr>
        <w:spacing w:after="0"/>
        <w:jc w:val="center"/>
        <w:rPr>
          <w:rFonts w:ascii="Arial" w:hAnsi="Arial" w:cs="Arial"/>
        </w:rPr>
      </w:pPr>
      <w:r w:rsidRPr="00B4280D">
        <w:rPr>
          <w:rFonts w:ascii="Arial" w:hAnsi="Arial" w:cs="Arial"/>
        </w:rPr>
        <w:t>More malleable material like Papyrus</w:t>
      </w:r>
    </w:p>
    <w:p w14:paraId="501A511E" w14:textId="77777777" w:rsidR="006015D1" w:rsidRPr="00B4280D" w:rsidRDefault="006015D1" w:rsidP="006015D1">
      <w:pPr>
        <w:spacing w:after="0"/>
        <w:jc w:val="center"/>
        <w:rPr>
          <w:rFonts w:ascii="Arial" w:hAnsi="Arial" w:cs="Arial"/>
        </w:rPr>
      </w:pPr>
      <w:r w:rsidRPr="00B4280D">
        <w:rPr>
          <w:rFonts w:ascii="Arial" w:hAnsi="Arial" w:cs="Arial"/>
        </w:rPr>
        <w:t xml:space="preserve">| </w:t>
      </w:r>
    </w:p>
    <w:p w14:paraId="1CA6BDA6" w14:textId="77777777" w:rsidR="006015D1" w:rsidRPr="00B4280D" w:rsidRDefault="006015D1" w:rsidP="006015D1">
      <w:pPr>
        <w:spacing w:after="0"/>
        <w:jc w:val="center"/>
        <w:rPr>
          <w:rFonts w:ascii="Arial" w:hAnsi="Arial" w:cs="Arial"/>
        </w:rPr>
      </w:pPr>
      <w:r w:rsidRPr="00B4280D">
        <w:rPr>
          <w:rFonts w:ascii="Arial" w:hAnsi="Arial" w:cs="Arial"/>
        </w:rPr>
        <w:t xml:space="preserve">Scroll </w:t>
      </w:r>
    </w:p>
    <w:p w14:paraId="43C6434D" w14:textId="77777777" w:rsidR="006015D1" w:rsidRPr="00B4280D" w:rsidRDefault="006015D1" w:rsidP="006015D1">
      <w:pPr>
        <w:spacing w:after="0"/>
        <w:jc w:val="center"/>
        <w:rPr>
          <w:rFonts w:ascii="Arial" w:hAnsi="Arial" w:cs="Arial"/>
        </w:rPr>
      </w:pPr>
      <w:r w:rsidRPr="00B4280D">
        <w:rPr>
          <w:rFonts w:ascii="Arial" w:hAnsi="Arial" w:cs="Arial"/>
        </w:rPr>
        <w:t>|</w:t>
      </w:r>
    </w:p>
    <w:p w14:paraId="2810AB14" w14:textId="77777777" w:rsidR="006015D1" w:rsidRPr="00B4280D" w:rsidRDefault="006015D1" w:rsidP="006015D1">
      <w:pPr>
        <w:spacing w:after="0"/>
        <w:jc w:val="center"/>
        <w:rPr>
          <w:rFonts w:ascii="Arial" w:hAnsi="Arial" w:cs="Arial"/>
        </w:rPr>
      </w:pPr>
      <w:proofErr w:type="spellStart"/>
      <w:r w:rsidRPr="00B4280D">
        <w:rPr>
          <w:rFonts w:ascii="Arial" w:hAnsi="Arial" w:cs="Arial"/>
        </w:rPr>
        <w:t>Accordian</w:t>
      </w:r>
      <w:proofErr w:type="spellEnd"/>
      <w:r w:rsidRPr="00B4280D">
        <w:rPr>
          <w:rFonts w:ascii="Arial" w:hAnsi="Arial" w:cs="Arial"/>
        </w:rPr>
        <w:t xml:space="preserve"> fold</w:t>
      </w:r>
    </w:p>
    <w:p w14:paraId="227FEA65" w14:textId="77777777" w:rsidR="006015D1" w:rsidRPr="00B4280D" w:rsidRDefault="006015D1" w:rsidP="006015D1">
      <w:pPr>
        <w:spacing w:after="0"/>
        <w:jc w:val="center"/>
        <w:rPr>
          <w:rFonts w:ascii="Arial" w:hAnsi="Arial" w:cs="Arial"/>
        </w:rPr>
      </w:pPr>
      <w:r w:rsidRPr="00B4280D">
        <w:rPr>
          <w:rFonts w:ascii="Arial" w:hAnsi="Arial" w:cs="Arial"/>
        </w:rPr>
        <w:t xml:space="preserve">| </w:t>
      </w:r>
    </w:p>
    <w:p w14:paraId="204FED26" w14:textId="77777777" w:rsidR="006015D1" w:rsidRDefault="006015D1" w:rsidP="006015D1">
      <w:pPr>
        <w:spacing w:after="0"/>
        <w:jc w:val="center"/>
        <w:rPr>
          <w:rFonts w:ascii="Arial" w:hAnsi="Arial" w:cs="Arial"/>
        </w:rPr>
      </w:pPr>
      <w:r w:rsidRPr="00B4280D">
        <w:rPr>
          <w:rFonts w:ascii="Arial" w:hAnsi="Arial" w:cs="Arial"/>
        </w:rPr>
        <w:t>Codex</w:t>
      </w:r>
    </w:p>
    <w:p w14:paraId="35499715" w14:textId="77777777" w:rsidR="006015D1" w:rsidRPr="00B4280D" w:rsidRDefault="006015D1" w:rsidP="006015D1">
      <w:pPr>
        <w:spacing w:after="0"/>
        <w:jc w:val="center"/>
        <w:rPr>
          <w:rFonts w:ascii="Arial" w:hAnsi="Arial" w:cs="Arial"/>
        </w:rPr>
      </w:pPr>
    </w:p>
    <w:p w14:paraId="7B4ED49F" w14:textId="77777777" w:rsidR="006015D1" w:rsidRPr="00B4280D" w:rsidRDefault="006015D1" w:rsidP="006015D1">
      <w:pPr>
        <w:spacing w:after="0"/>
        <w:ind w:firstLine="360"/>
        <w:rPr>
          <w:rFonts w:ascii="Arial" w:hAnsi="Arial" w:cs="Arial"/>
        </w:rPr>
      </w:pPr>
      <w:r w:rsidRPr="00B4280D">
        <w:rPr>
          <w:rFonts w:ascii="Arial" w:hAnsi="Arial" w:cs="Arial"/>
        </w:rPr>
        <w:lastRenderedPageBreak/>
        <w:t>The shift from oral to written language was an important milestone in human history and gave rise to various physical mediums for record keeping. It all began with the clay tablet that arose in Sumer between 8500 and 3000 BCE as the earliest example of this shift.</w:t>
      </w:r>
      <w:r w:rsidRPr="00B4280D">
        <w:rPr>
          <w:rStyle w:val="FootnoteReference"/>
          <w:rFonts w:ascii="Arial" w:hAnsi="Arial" w:cs="Arial"/>
        </w:rPr>
        <w:footnoteReference w:id="2"/>
      </w:r>
      <w:r w:rsidRPr="00B4280D">
        <w:rPr>
          <w:rFonts w:ascii="Arial" w:hAnsi="Arial" w:cs="Arial"/>
        </w:rPr>
        <w:t xml:space="preserve"> In other parts of the world, more malleable materials like papyrus evolved. With the advent of more malleable materials, the scroll form developed for ease of transportation. While the scroll was much easier to transport than a trailing leaf of papyrus, it was difficult to unfurl and read. The accordion fold developed for ease of reading allowing for segmented portions of the text to be read at a time. Through binding the accordion form, the codex as we know it today evolved.</w:t>
      </w:r>
      <w:r w:rsidRPr="00B4280D">
        <w:rPr>
          <w:rStyle w:val="FootnoteReference"/>
          <w:rFonts w:ascii="Arial" w:hAnsi="Arial" w:cs="Arial"/>
        </w:rPr>
        <w:footnoteReference w:id="3"/>
      </w:r>
      <w:r w:rsidRPr="00B4280D">
        <w:rPr>
          <w:rFonts w:ascii="Arial" w:hAnsi="Arial" w:cs="Arial"/>
        </w:rPr>
        <w:t xml:space="preserve"> As </w:t>
      </w:r>
      <w:proofErr w:type="spellStart"/>
      <w:r w:rsidRPr="00B4280D">
        <w:rPr>
          <w:rFonts w:ascii="Arial" w:hAnsi="Arial" w:cs="Arial"/>
        </w:rPr>
        <w:t>bookworks</w:t>
      </w:r>
      <w:proofErr w:type="spellEnd"/>
      <w:r w:rsidRPr="00B4280D">
        <w:rPr>
          <w:rFonts w:ascii="Arial" w:hAnsi="Arial" w:cs="Arial"/>
        </w:rPr>
        <w:t>,</w:t>
      </w:r>
      <w:r w:rsidRPr="00B4280D">
        <w:rPr>
          <w:rStyle w:val="FootnoteReference"/>
          <w:rFonts w:ascii="Arial" w:hAnsi="Arial" w:cs="Arial"/>
        </w:rPr>
        <w:footnoteReference w:id="4"/>
      </w:r>
      <w:r w:rsidRPr="00B4280D">
        <w:rPr>
          <w:rFonts w:ascii="Arial" w:hAnsi="Arial" w:cs="Arial"/>
        </w:rPr>
        <w:t xml:space="preserve"> also referred to as artists books, come into the picture, they play with the concept of what constitutes a book and how to push the boundaries of a medium that has evolved</w:t>
      </w:r>
      <w:r>
        <w:rPr>
          <w:rFonts w:ascii="Arial" w:hAnsi="Arial" w:cs="Arial"/>
        </w:rPr>
        <w:t xml:space="preserve"> </w:t>
      </w:r>
      <w:r w:rsidRPr="00B4280D">
        <w:rPr>
          <w:rFonts w:ascii="Arial" w:hAnsi="Arial" w:cs="Arial"/>
        </w:rPr>
        <w:t>over time.</w:t>
      </w:r>
    </w:p>
    <w:p w14:paraId="1A3FD784" w14:textId="77777777" w:rsidR="006015D1" w:rsidRPr="00B4280D" w:rsidRDefault="006015D1" w:rsidP="006015D1">
      <w:pPr>
        <w:pStyle w:val="NormalWeb"/>
        <w:ind w:left="360"/>
        <w:rPr>
          <w:rFonts w:ascii="Arial" w:hAnsi="Arial" w:cs="Arial"/>
        </w:rPr>
      </w:pPr>
      <w:r w:rsidRPr="00B4280D">
        <w:rPr>
          <w:rFonts w:ascii="Arial" w:hAnsi="Arial" w:cs="Arial"/>
        </w:rPr>
        <w:t>“A book is a space-time sequence.”</w:t>
      </w:r>
    </w:p>
    <w:p w14:paraId="1E3BB141" w14:textId="77777777" w:rsidR="006015D1" w:rsidRPr="00B4280D" w:rsidRDefault="006015D1" w:rsidP="006015D1">
      <w:pPr>
        <w:pStyle w:val="ListParagraph"/>
        <w:numPr>
          <w:ilvl w:val="0"/>
          <w:numId w:val="1"/>
        </w:numPr>
        <w:spacing w:after="0"/>
        <w:ind w:left="1080"/>
        <w:rPr>
          <w:rFonts w:ascii="Arial" w:hAnsi="Arial" w:cs="Arial"/>
        </w:rPr>
      </w:pPr>
      <w:r w:rsidRPr="00B4280D">
        <w:rPr>
          <w:rFonts w:ascii="Arial" w:hAnsi="Arial" w:cs="Arial"/>
        </w:rPr>
        <w:t xml:space="preserve">Ulises </w:t>
      </w:r>
      <w:proofErr w:type="spellStart"/>
      <w:r w:rsidRPr="00B4280D">
        <w:rPr>
          <w:rFonts w:ascii="Arial" w:hAnsi="Arial" w:cs="Arial"/>
        </w:rPr>
        <w:t>Carrión</w:t>
      </w:r>
      <w:proofErr w:type="spellEnd"/>
      <w:r w:rsidRPr="00B4280D">
        <w:rPr>
          <w:rFonts w:ascii="Arial" w:hAnsi="Arial" w:cs="Arial"/>
        </w:rPr>
        <w:t xml:space="preserve"> </w:t>
      </w:r>
    </w:p>
    <w:p w14:paraId="6C69A92B" w14:textId="730BDD55" w:rsidR="006015D1" w:rsidRDefault="006015D1" w:rsidP="006015D1"/>
    <w:sectPr w:rsidR="00601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36B94" w14:textId="77777777" w:rsidR="00B235B7" w:rsidRDefault="00B235B7" w:rsidP="006015D1">
      <w:pPr>
        <w:spacing w:after="0" w:line="240" w:lineRule="auto"/>
      </w:pPr>
      <w:r>
        <w:separator/>
      </w:r>
    </w:p>
  </w:endnote>
  <w:endnote w:type="continuationSeparator" w:id="0">
    <w:p w14:paraId="3166CECE" w14:textId="77777777" w:rsidR="00B235B7" w:rsidRDefault="00B235B7" w:rsidP="0060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pleSystemUIFont">
    <w:altName w:val="Calibri"/>
    <w:panose1 w:val="020B0604020202020204"/>
    <w:charset w:val="00"/>
    <w:family w:val="auto"/>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CEEEF" w14:textId="77777777" w:rsidR="00B235B7" w:rsidRDefault="00B235B7" w:rsidP="006015D1">
      <w:pPr>
        <w:spacing w:after="0" w:line="240" w:lineRule="auto"/>
      </w:pPr>
      <w:r>
        <w:separator/>
      </w:r>
    </w:p>
  </w:footnote>
  <w:footnote w:type="continuationSeparator" w:id="0">
    <w:p w14:paraId="1707E24F" w14:textId="77777777" w:rsidR="00B235B7" w:rsidRDefault="00B235B7" w:rsidP="006015D1">
      <w:pPr>
        <w:spacing w:after="0" w:line="240" w:lineRule="auto"/>
      </w:pPr>
      <w:r>
        <w:continuationSeparator/>
      </w:r>
    </w:p>
  </w:footnote>
  <w:footnote w:id="1">
    <w:p w14:paraId="2386C537" w14:textId="77777777" w:rsidR="006015D1" w:rsidRDefault="006015D1" w:rsidP="006015D1">
      <w:pPr>
        <w:pStyle w:val="FootnoteText"/>
      </w:pPr>
      <w:r>
        <w:rPr>
          <w:rStyle w:val="FootnoteReference"/>
        </w:rPr>
        <w:footnoteRef/>
      </w:r>
      <w:r>
        <w:t xml:space="preserve"> A codex is a book form characterized as a block of pages bound on one side in between covers. This is the most common </w:t>
      </w:r>
      <w:proofErr w:type="spellStart"/>
      <w:r>
        <w:t>bookform</w:t>
      </w:r>
      <w:proofErr w:type="spellEnd"/>
      <w:r>
        <w:t xml:space="preserve"> present-day. </w:t>
      </w:r>
    </w:p>
  </w:footnote>
  <w:footnote w:id="2">
    <w:p w14:paraId="0448A620" w14:textId="77777777" w:rsidR="006015D1" w:rsidRDefault="006015D1" w:rsidP="006015D1">
      <w:pPr>
        <w:pStyle w:val="FootnoteText"/>
      </w:pPr>
      <w:r>
        <w:rPr>
          <w:rStyle w:val="FootnoteReference"/>
        </w:rPr>
        <w:footnoteRef/>
      </w:r>
      <w:r>
        <w:t xml:space="preserve"> The Book Amaranth Borsuk </w:t>
      </w:r>
    </w:p>
  </w:footnote>
  <w:footnote w:id="3">
    <w:p w14:paraId="7219D69D" w14:textId="77777777" w:rsidR="006015D1" w:rsidRDefault="006015D1" w:rsidP="006015D1">
      <w:pPr>
        <w:pStyle w:val="FootnoteText"/>
      </w:pPr>
      <w:r>
        <w:rPr>
          <w:rStyle w:val="FootnoteReference"/>
        </w:rPr>
        <w:footnoteRef/>
      </w:r>
      <w:r>
        <w:t xml:space="preserve"> The Book Amaranth Borsuk</w:t>
      </w:r>
    </w:p>
  </w:footnote>
  <w:footnote w:id="4">
    <w:p w14:paraId="644B3FB1" w14:textId="77777777" w:rsidR="006015D1" w:rsidRDefault="006015D1" w:rsidP="006015D1">
      <w:pPr>
        <w:pStyle w:val="FootnoteText"/>
      </w:pPr>
      <w:r>
        <w:rPr>
          <w:rStyle w:val="FootnoteReference"/>
        </w:rPr>
        <w:footnoteRef/>
      </w:r>
      <w:r>
        <w:t xml:space="preserve"> </w:t>
      </w:r>
      <w:proofErr w:type="spellStart"/>
      <w:r>
        <w:t>Bookworks</w:t>
      </w:r>
      <w:proofErr w:type="spellEnd"/>
      <w:r>
        <w:t xml:space="preserve"> is a term Ulises </w:t>
      </w:r>
      <w:proofErr w:type="spellStart"/>
      <w:r>
        <w:t>Carrión</w:t>
      </w:r>
      <w:proofErr w:type="spellEnd"/>
      <w:r>
        <w:t xml:space="preserve"> uses to describe books that are created with the intention of using the book as a medium rather than a container of text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84C50"/>
    <w:multiLevelType w:val="hybridMultilevel"/>
    <w:tmpl w:val="60F87C0A"/>
    <w:lvl w:ilvl="0" w:tplc="E012C3D6">
      <w:start w:val="1"/>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42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D1"/>
    <w:rsid w:val="0042162D"/>
    <w:rsid w:val="004B4029"/>
    <w:rsid w:val="006015D1"/>
    <w:rsid w:val="00B2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0C1EC"/>
  <w15:chartTrackingRefBased/>
  <w15:docId w15:val="{39C19775-28DC-5942-ACD3-2B1D5D3C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D1"/>
  </w:style>
  <w:style w:type="paragraph" w:styleId="Heading1">
    <w:name w:val="heading 1"/>
    <w:basedOn w:val="Normal"/>
    <w:next w:val="Normal"/>
    <w:link w:val="Heading1Char"/>
    <w:uiPriority w:val="9"/>
    <w:qFormat/>
    <w:rsid w:val="00601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D1"/>
    <w:rPr>
      <w:rFonts w:eastAsiaTheme="majorEastAsia" w:cstheme="majorBidi"/>
      <w:color w:val="272727" w:themeColor="text1" w:themeTint="D8"/>
    </w:rPr>
  </w:style>
  <w:style w:type="paragraph" w:styleId="Title">
    <w:name w:val="Title"/>
    <w:basedOn w:val="Normal"/>
    <w:next w:val="Normal"/>
    <w:link w:val="TitleChar"/>
    <w:uiPriority w:val="10"/>
    <w:qFormat/>
    <w:rsid w:val="00601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D1"/>
    <w:pPr>
      <w:spacing w:before="160"/>
      <w:jc w:val="center"/>
    </w:pPr>
    <w:rPr>
      <w:i/>
      <w:iCs/>
      <w:color w:val="404040" w:themeColor="text1" w:themeTint="BF"/>
    </w:rPr>
  </w:style>
  <w:style w:type="character" w:customStyle="1" w:styleId="QuoteChar">
    <w:name w:val="Quote Char"/>
    <w:basedOn w:val="DefaultParagraphFont"/>
    <w:link w:val="Quote"/>
    <w:uiPriority w:val="29"/>
    <w:rsid w:val="006015D1"/>
    <w:rPr>
      <w:i/>
      <w:iCs/>
      <w:color w:val="404040" w:themeColor="text1" w:themeTint="BF"/>
    </w:rPr>
  </w:style>
  <w:style w:type="paragraph" w:styleId="ListParagraph">
    <w:name w:val="List Paragraph"/>
    <w:basedOn w:val="Normal"/>
    <w:uiPriority w:val="34"/>
    <w:qFormat/>
    <w:rsid w:val="006015D1"/>
    <w:pPr>
      <w:ind w:left="720"/>
      <w:contextualSpacing/>
    </w:pPr>
  </w:style>
  <w:style w:type="character" w:styleId="IntenseEmphasis">
    <w:name w:val="Intense Emphasis"/>
    <w:basedOn w:val="DefaultParagraphFont"/>
    <w:uiPriority w:val="21"/>
    <w:qFormat/>
    <w:rsid w:val="006015D1"/>
    <w:rPr>
      <w:i/>
      <w:iCs/>
      <w:color w:val="0F4761" w:themeColor="accent1" w:themeShade="BF"/>
    </w:rPr>
  </w:style>
  <w:style w:type="paragraph" w:styleId="IntenseQuote">
    <w:name w:val="Intense Quote"/>
    <w:basedOn w:val="Normal"/>
    <w:next w:val="Normal"/>
    <w:link w:val="IntenseQuoteChar"/>
    <w:uiPriority w:val="30"/>
    <w:qFormat/>
    <w:rsid w:val="00601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D1"/>
    <w:rPr>
      <w:i/>
      <w:iCs/>
      <w:color w:val="0F4761" w:themeColor="accent1" w:themeShade="BF"/>
    </w:rPr>
  </w:style>
  <w:style w:type="character" w:styleId="IntenseReference">
    <w:name w:val="Intense Reference"/>
    <w:basedOn w:val="DefaultParagraphFont"/>
    <w:uiPriority w:val="32"/>
    <w:qFormat/>
    <w:rsid w:val="006015D1"/>
    <w:rPr>
      <w:b/>
      <w:bCs/>
      <w:smallCaps/>
      <w:color w:val="0F4761" w:themeColor="accent1" w:themeShade="BF"/>
      <w:spacing w:val="5"/>
    </w:rPr>
  </w:style>
  <w:style w:type="paragraph" w:styleId="NormalWeb">
    <w:name w:val="Normal (Web)"/>
    <w:basedOn w:val="Normal"/>
    <w:uiPriority w:val="99"/>
    <w:unhideWhenUsed/>
    <w:rsid w:val="006015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6015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5D1"/>
    <w:rPr>
      <w:sz w:val="20"/>
      <w:szCs w:val="20"/>
    </w:rPr>
  </w:style>
  <w:style w:type="character" w:styleId="FootnoteReference">
    <w:name w:val="footnote reference"/>
    <w:basedOn w:val="DefaultParagraphFont"/>
    <w:uiPriority w:val="99"/>
    <w:semiHidden/>
    <w:unhideWhenUsed/>
    <w:rsid w:val="006015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1</cp:revision>
  <dcterms:created xsi:type="dcterms:W3CDTF">2024-08-12T16:52:00Z</dcterms:created>
  <dcterms:modified xsi:type="dcterms:W3CDTF">2024-08-12T16:53:00Z</dcterms:modified>
</cp:coreProperties>
</file>