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rial" w:hAnsi="Arial"/>
          <w:b/>
          <w:color w:val="0B3C5D"/>
          <w:sz w:val="56"/>
        </w:rPr>
        <w:t>EDSTELLAR ENGAGE</w:t>
      </w:r>
    </w:p>
    <w:p>
      <w:pPr>
        <w:jc w:val="center"/>
      </w:pPr>
      <w:r>
        <w:rPr>
          <w:rFonts w:ascii="Arial" w:hAnsi="Arial"/>
          <w:b/>
          <w:color w:val="111827"/>
          <w:sz w:val="32"/>
        </w:rPr>
        <w:t>Employee Engagement Games Platform Concept</w:t>
      </w:r>
    </w:p>
    <w:p>
      <w:pPr>
        <w:spacing w:before="240"/>
        <w:ind w:left="1152" w:right="1152"/>
        <w:jc w:val="center"/>
      </w:pPr>
      <w:r>
        <w:rPr>
          <w:rFonts w:ascii="Arial" w:hAnsi="Arial"/>
          <w:color w:val="4B5563"/>
          <w:sz w:val="22"/>
        </w:rPr>
        <w:t>A corporate engagement platform that helps employers create interactive, game-based spaces for team bonding, learning reinforcement, collaboration, and workplace culture building.</w:t>
      </w:r>
    </w:p>
    <w:tbl>
      <w:tblPr>
        <w:tblW w:type="auto" w:w="0"/>
        <w:jc w:val="center"/>
        <w:tblLook w:firstColumn="1" w:firstRow="1" w:lastColumn="0" w:lastRow="0" w:noHBand="0" w:noVBand="1" w:val="04A0"/>
      </w:tblPr>
      <w:tblGrid>
        <w:gridCol w:w="10224"/>
      </w:tblGrid>
      <w:tr>
        <w:tc>
          <w:tcPr>
            <w:tcW w:type="dxa" w:w="10224"/>
            <w:shd w:fill="EEF2F7"/>
            <w:tcBorders>
              <w:top w:val="single" w:sz="12" w:space="0" w:color="38BDF8"/>
              <w:left w:val="single" w:sz="12" w:space="0" w:color="38BDF8"/>
              <w:bottom w:val="single" w:sz="12" w:space="0" w:color="38BDF8"/>
              <w:right w:val="single" w:sz="12" w:space="0" w:color="38BDF8"/>
            </w:tcBorders>
            <w:tcMar>
              <w:top w:w="180" w:type="dxa"/>
              <w:start w:w="180" w:type="dxa"/>
              <w:bottom w:w="180" w:type="dxa"/>
              <w:end w:w="180" w:type="dxa"/>
            </w:tcMar>
          </w:tcPr>
          <w:p>
            <w:pPr>
              <w:spacing w:after="0"/>
              <w:jc w:val="center"/>
            </w:pPr>
            <w:r>
              <w:rPr>
                <w:rFonts w:ascii="Arial" w:hAnsi="Arial"/>
                <w:b/>
                <w:color w:val="0B3C5D"/>
                <w:sz w:val="24"/>
              </w:rPr>
              <w:t>Recommended subdomain: engage.edstellar.com</w:t>
            </w:r>
          </w:p>
          <w:p>
            <w:pPr>
              <w:spacing w:after="0"/>
              <w:jc w:val="center"/>
            </w:pPr>
            <w:r>
              <w:rPr>
                <w:rFonts w:ascii="Arial" w:hAnsi="Arial"/>
                <w:color w:val="4B5563"/>
                <w:sz w:val="19"/>
              </w:rPr>
              <w:t>Recommended positioning: Employee engagement, team bonding, culture building, and gamified learning support.</w:t>
            </w:r>
          </w:p>
        </w:tc>
      </w:tr>
    </w:tbl>
    <w:p>
      <w:pPr>
        <w:spacing w:before="0" w:after="360" w:line="252" w:lineRule="auto"/>
      </w:pPr>
    </w:p>
    <w:p>
      <w:pPr>
        <w:jc w:val="center"/>
      </w:pPr>
      <w:r>
        <w:rPr>
          <w:rFonts w:ascii="Arial" w:hAnsi="Arial"/>
          <w:color w:val="6B7280"/>
          <w:sz w:val="18"/>
        </w:rPr>
        <w:t>Prepared for Edstellar strategic planning</w:t>
      </w:r>
    </w:p>
    <w:p>
      <w:r>
        <w:br w:type="page"/>
      </w:r>
    </w:p>
    <w:p>
      <w:pPr>
        <w:pStyle w:val="Heading1"/>
        <w:spacing w:before="200" w:after="80"/>
      </w:pPr>
      <w:r>
        <w:t>1. Executive Concept</w:t>
      </w:r>
    </w:p>
    <w:p>
      <w:pPr>
        <w:spacing w:before="0" w:after="80" w:line="252" w:lineRule="auto"/>
      </w:pPr>
      <w:r>
        <w:t>Edstellar Engage is a proposed subdomain and platform concept for helping employers create structured game-based engagement experiences for employees. The goal is not to build a generic gaming website. The stronger opportunity is to create a corporate employee engagement platform that uses games as a medium for connection, collaboration, learning reinforcement, and culture building.</w:t>
      </w:r>
    </w:p>
    <w:p>
      <w:pPr>
        <w:spacing w:before="0" w:after="80" w:line="252" w:lineRule="auto"/>
      </w:pPr>
      <w:r>
        <w:t>The platform can support HR, L&amp;D, and business teams that want to run team activities for remote teams, onboarding cohorts, leadership programs, post-training reinforcement, wellness campaigns, and internal culture initiatives.</w:t>
      </w:r>
    </w:p>
    <w:p>
      <w:pPr>
        <w:pStyle w:val="Heading1"/>
        <w:spacing w:before="200" w:after="80"/>
      </w:pPr>
      <w:r>
        <w:t>2. Recommended Brand Direction</w:t>
      </w:r>
    </w:p>
    <w:tbl>
      <w:tblPr>
        <w:tblStyle w:val="TableGrid"/>
        <w:tblW w:type="auto" w:w="0"/>
        <w:jc w:val="center"/>
        <w:tblLook w:firstColumn="1" w:firstRow="1" w:lastColumn="0" w:lastRow="0" w:noHBand="0" w:noVBand="1" w:val="04A0"/>
      </w:tblPr>
      <w:tblGrid>
        <w:gridCol w:w="3408"/>
        <w:gridCol w:w="3408"/>
        <w:gridCol w:w="3408"/>
      </w:tblGrid>
      <w:tr>
        <w:tc>
          <w:tcPr>
            <w:tcW w:type="dxa" w:w="2200"/>
            <w:shd w:fill="0B3C5D"/>
            <w:tcBorders>
              <w:top w:val="single" w:sz="8" w:space="0" w:color="0B3C5D"/>
              <w:left w:val="single" w:sz="8" w:space="0" w:color="0B3C5D"/>
              <w:bottom w:val="single" w:sz="8" w:space="0" w:color="0B3C5D"/>
              <w:right w:val="single" w:sz="8" w:space="0" w:color="0B3C5D"/>
            </w:tcBorders>
            <w:tcMar>
              <w:top w:w="90" w:type="dxa"/>
              <w:start w:w="90" w:type="dxa"/>
              <w:bottom w:w="90" w:type="dxa"/>
              <w:end w:w="90" w:type="dxa"/>
            </w:tcMar>
            <w:vAlign w:val="center"/>
          </w:tcPr>
          <w:p>
            <w:pPr>
              <w:spacing w:after="0"/>
            </w:pPr>
            <w:r>
              <w:rPr>
                <w:rFonts w:ascii="Arial" w:hAnsi="Arial"/>
                <w:b/>
                <w:color w:val="FFFFFF"/>
                <w:sz w:val="17"/>
              </w:rPr>
              <w:t>Option</w:t>
            </w:r>
          </w:p>
        </w:tc>
        <w:tc>
          <w:tcPr>
            <w:tcW w:type="dxa" w:w="5200"/>
            <w:shd w:fill="0B3C5D"/>
            <w:tcBorders>
              <w:top w:val="single" w:sz="8" w:space="0" w:color="0B3C5D"/>
              <w:left w:val="single" w:sz="8" w:space="0" w:color="0B3C5D"/>
              <w:bottom w:val="single" w:sz="8" w:space="0" w:color="0B3C5D"/>
              <w:right w:val="single" w:sz="8" w:space="0" w:color="0B3C5D"/>
            </w:tcBorders>
            <w:tcMar>
              <w:top w:w="90" w:type="dxa"/>
              <w:start w:w="90" w:type="dxa"/>
              <w:bottom w:w="90" w:type="dxa"/>
              <w:end w:w="90" w:type="dxa"/>
            </w:tcMar>
            <w:vAlign w:val="center"/>
          </w:tcPr>
          <w:p>
            <w:pPr>
              <w:spacing w:after="0"/>
            </w:pPr>
            <w:r>
              <w:rPr>
                <w:rFonts w:ascii="Arial" w:hAnsi="Arial"/>
                <w:b/>
                <w:color w:val="FFFFFF"/>
                <w:sz w:val="17"/>
              </w:rPr>
              <w:t>Assessment</w:t>
            </w:r>
          </w:p>
        </w:tc>
        <w:tc>
          <w:tcPr>
            <w:tcW w:type="dxa" w:w="2200"/>
            <w:shd w:fill="0B3C5D"/>
            <w:tcBorders>
              <w:top w:val="single" w:sz="8" w:space="0" w:color="0B3C5D"/>
              <w:left w:val="single" w:sz="8" w:space="0" w:color="0B3C5D"/>
              <w:bottom w:val="single" w:sz="8" w:space="0" w:color="0B3C5D"/>
              <w:right w:val="single" w:sz="8" w:space="0" w:color="0B3C5D"/>
            </w:tcBorders>
            <w:tcMar>
              <w:top w:w="90" w:type="dxa"/>
              <w:start w:w="90" w:type="dxa"/>
              <w:bottom w:w="90" w:type="dxa"/>
              <w:end w:w="90" w:type="dxa"/>
            </w:tcMar>
            <w:vAlign w:val="center"/>
          </w:tcPr>
          <w:p>
            <w:pPr>
              <w:spacing w:after="0"/>
            </w:pPr>
            <w:r>
              <w:rPr>
                <w:rFonts w:ascii="Arial" w:hAnsi="Arial"/>
                <w:b/>
                <w:color w:val="FFFFFF"/>
                <w:sz w:val="17"/>
              </w:rPr>
              <w:t>Recommendation</w:t>
            </w:r>
          </w:p>
        </w:tc>
      </w:tr>
      <w:tr>
        <w:tc>
          <w:tcPr>
            <w:tcW w:type="dxa" w:w="22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engage.edstellar.com</w:t>
            </w:r>
          </w:p>
        </w:tc>
        <w:tc>
          <w:tcPr>
            <w:tcW w:type="dxa" w:w="52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Professional, HR-friendly, and aligned with employee engagement and L&amp;D outcomes.</w:t>
            </w:r>
          </w:p>
        </w:tc>
        <w:tc>
          <w:tcPr>
            <w:tcW w:type="dxa" w:w="22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Best option</w:t>
            </w:r>
          </w:p>
        </w:tc>
      </w:tr>
      <w:tr>
        <w:tc>
          <w:tcPr>
            <w:tcW w:type="dxa" w:w="22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play.edstellar.com</w:t>
            </w:r>
          </w:p>
        </w:tc>
        <w:tc>
          <w:tcPr>
            <w:tcW w:type="dxa" w:w="52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Memorable and simple, but slightly more casual.</w:t>
            </w:r>
          </w:p>
        </w:tc>
        <w:tc>
          <w:tcPr>
            <w:tcW w:type="dxa" w:w="22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Good secondary option</w:t>
            </w:r>
          </w:p>
        </w:tc>
      </w:tr>
      <w:tr>
        <w:tc>
          <w:tcPr>
            <w:tcW w:type="dxa" w:w="22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games.edstellar.com</w:t>
            </w:r>
          </w:p>
        </w:tc>
        <w:tc>
          <w:tcPr>
            <w:tcW w:type="dxa" w:w="52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Clear but generic. Can feel like entertainment rather than enterprise value.</w:t>
            </w:r>
          </w:p>
        </w:tc>
        <w:tc>
          <w:tcPr>
            <w:tcW w:type="dxa" w:w="22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Avoid as primary positioning</w:t>
            </w:r>
          </w:p>
        </w:tc>
      </w:tr>
    </w:tbl>
    <w:p>
      <w:pPr>
        <w:spacing w:after="40"/>
      </w:pPr>
    </w:p>
    <w:p>
      <w:pPr>
        <w:pStyle w:val="Heading1"/>
        <w:spacing w:before="200" w:after="80"/>
      </w:pPr>
      <w:r>
        <w:t>3. Positioning Statement</w:t>
      </w:r>
    </w:p>
    <w:p>
      <w:pPr>
        <w:spacing w:before="0" w:after="80" w:line="252" w:lineRule="auto"/>
      </w:pPr>
      <w:r>
        <w:t>Edstellar Engage is an employee engagement platform that enables organizations to create interactive game-based experiences for team bonding, learning reinforcement, leadership development, and workplace culture building.</w:t>
      </w:r>
    </w:p>
    <w:p>
      <w:pPr>
        <w:pStyle w:val="Heading2"/>
        <w:spacing w:before="120" w:after="80"/>
      </w:pPr>
      <w:r>
        <w:t>Suggested Taglines</w:t>
      </w:r>
    </w:p>
    <w:p>
      <w:pPr>
        <w:pStyle w:val="ListBullet"/>
        <w:spacing w:after="40" w:line="252" w:lineRule="auto"/>
      </w:pPr>
      <w:r>
        <w:rPr>
          <w:rFonts w:ascii="Arial" w:hAnsi="Arial"/>
          <w:color w:val="4B5563"/>
          <w:sz w:val="18"/>
        </w:rPr>
        <w:t>Workplace games and team activities that build connection, collaboration, and culture.</w:t>
      </w:r>
    </w:p>
    <w:p>
      <w:pPr>
        <w:pStyle w:val="ListBullet"/>
        <w:spacing w:after="40" w:line="252" w:lineRule="auto"/>
      </w:pPr>
      <w:r>
        <w:rPr>
          <w:rFonts w:ascii="Arial" w:hAnsi="Arial"/>
          <w:color w:val="4B5563"/>
          <w:sz w:val="18"/>
        </w:rPr>
        <w:t>Interactive team games for employee engagement, learning reinforcement, and workplace bonding.</w:t>
      </w:r>
    </w:p>
    <w:p>
      <w:pPr>
        <w:pStyle w:val="ListBullet"/>
        <w:spacing w:after="40" w:line="252" w:lineRule="auto"/>
      </w:pPr>
      <w:r>
        <w:rPr>
          <w:rFonts w:ascii="Arial" w:hAnsi="Arial"/>
          <w:color w:val="4B5563"/>
          <w:sz w:val="18"/>
        </w:rPr>
        <w:t>Make employee engagement more interactive, measurable, and meaningful.</w:t>
      </w:r>
    </w:p>
    <w:p>
      <w:pPr>
        <w:pStyle w:val="Heading1"/>
        <w:spacing w:before="200" w:after="80"/>
      </w:pPr>
      <w:r>
        <w:t>4. Core Value Proposition</w:t>
      </w:r>
    </w:p>
    <w:tbl>
      <w:tblPr>
        <w:tblStyle w:val="TableGrid"/>
        <w:tblW w:type="auto" w:w="0"/>
        <w:jc w:val="center"/>
        <w:tblLook w:firstColumn="1" w:firstRow="1" w:lastColumn="0" w:lastRow="0" w:noHBand="0" w:noVBand="1" w:val="04A0"/>
      </w:tblPr>
      <w:tblGrid>
        <w:gridCol w:w="5112"/>
        <w:gridCol w:w="5112"/>
      </w:tblGrid>
      <w:tr>
        <w:tc>
          <w:tcPr>
            <w:tcW w:type="dxa" w:w="2400"/>
            <w:shd w:fill="0B3C5D"/>
            <w:tcBorders>
              <w:top w:val="single" w:sz="8" w:space="0" w:color="0B3C5D"/>
              <w:left w:val="single" w:sz="8" w:space="0" w:color="0B3C5D"/>
              <w:bottom w:val="single" w:sz="8" w:space="0" w:color="0B3C5D"/>
              <w:right w:val="single" w:sz="8" w:space="0" w:color="0B3C5D"/>
            </w:tcBorders>
            <w:tcMar>
              <w:top w:w="90" w:type="dxa"/>
              <w:start w:w="90" w:type="dxa"/>
              <w:bottom w:w="90" w:type="dxa"/>
              <w:end w:w="90" w:type="dxa"/>
            </w:tcMar>
            <w:vAlign w:val="center"/>
          </w:tcPr>
          <w:p>
            <w:pPr>
              <w:spacing w:after="0"/>
            </w:pPr>
            <w:r>
              <w:rPr>
                <w:rFonts w:ascii="Arial" w:hAnsi="Arial"/>
                <w:b/>
                <w:color w:val="FFFFFF"/>
                <w:sz w:val="17"/>
              </w:rPr>
              <w:t>Audience</w:t>
            </w:r>
          </w:p>
        </w:tc>
        <w:tc>
          <w:tcPr>
            <w:tcW w:type="dxa" w:w="7000"/>
            <w:shd w:fill="0B3C5D"/>
            <w:tcBorders>
              <w:top w:val="single" w:sz="8" w:space="0" w:color="0B3C5D"/>
              <w:left w:val="single" w:sz="8" w:space="0" w:color="0B3C5D"/>
              <w:bottom w:val="single" w:sz="8" w:space="0" w:color="0B3C5D"/>
              <w:right w:val="single" w:sz="8" w:space="0" w:color="0B3C5D"/>
            </w:tcBorders>
            <w:tcMar>
              <w:top w:w="90" w:type="dxa"/>
              <w:start w:w="90" w:type="dxa"/>
              <w:bottom w:w="90" w:type="dxa"/>
              <w:end w:w="90" w:type="dxa"/>
            </w:tcMar>
            <w:vAlign w:val="center"/>
          </w:tcPr>
          <w:p>
            <w:pPr>
              <w:spacing w:after="0"/>
            </w:pPr>
            <w:r>
              <w:rPr>
                <w:rFonts w:ascii="Arial" w:hAnsi="Arial"/>
                <w:b/>
                <w:color w:val="FFFFFF"/>
                <w:sz w:val="17"/>
              </w:rPr>
              <w:t>Value Delivered</w:t>
            </w:r>
          </w:p>
        </w:tc>
      </w:tr>
      <w:tr>
        <w:tc>
          <w:tcPr>
            <w:tcW w:type="dxa" w:w="24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HR Teams</w:t>
            </w:r>
          </w:p>
        </w:tc>
        <w:tc>
          <w:tcPr>
            <w:tcW w:type="dxa" w:w="70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Run structured employee engagement programs without depending on ad hoc activities.</w:t>
            </w:r>
          </w:p>
        </w:tc>
      </w:tr>
      <w:tr>
        <w:tc>
          <w:tcPr>
            <w:tcW w:type="dxa" w:w="24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L&amp;D Teams</w:t>
            </w:r>
          </w:p>
        </w:tc>
        <w:tc>
          <w:tcPr>
            <w:tcW w:type="dxa" w:w="70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Reinforce learning outcomes through quizzes, simulations, scenarios, and challenges.</w:t>
            </w:r>
          </w:p>
        </w:tc>
      </w:tr>
      <w:tr>
        <w:tc>
          <w:tcPr>
            <w:tcW w:type="dxa" w:w="24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Managers</w:t>
            </w:r>
          </w:p>
        </w:tc>
        <w:tc>
          <w:tcPr>
            <w:tcW w:type="dxa" w:w="70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Improve team bonding, communication, and participation across departments.</w:t>
            </w:r>
          </w:p>
        </w:tc>
      </w:tr>
      <w:tr>
        <w:tc>
          <w:tcPr>
            <w:tcW w:type="dxa" w:w="24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Employees</w:t>
            </w:r>
          </w:p>
        </w:tc>
        <w:tc>
          <w:tcPr>
            <w:tcW w:type="dxa" w:w="70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Join fun, low-friction activities that build connection and recognition.</w:t>
            </w:r>
          </w:p>
        </w:tc>
      </w:tr>
      <w:tr>
        <w:tc>
          <w:tcPr>
            <w:tcW w:type="dxa" w:w="24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Enterprise Leaders</w:t>
            </w:r>
          </w:p>
        </w:tc>
        <w:tc>
          <w:tcPr>
            <w:tcW w:type="dxa" w:w="70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Track participation and engagement trends through measurable dashboards.</w:t>
            </w:r>
          </w:p>
        </w:tc>
      </w:tr>
    </w:tbl>
    <w:p>
      <w:pPr>
        <w:spacing w:after="40"/>
      </w:pPr>
    </w:p>
    <w:p>
      <w:pPr>
        <w:pStyle w:val="Heading1"/>
        <w:spacing w:before="200" w:after="80"/>
      </w:pPr>
      <w:r>
        <w:t>5. Game Categories</w:t>
      </w:r>
    </w:p>
    <w:tbl>
      <w:tblPr>
        <w:tblStyle w:val="TableGrid"/>
        <w:tblW w:type="auto" w:w="0"/>
        <w:jc w:val="center"/>
        <w:tblLook w:firstColumn="1" w:firstRow="1" w:lastColumn="0" w:lastRow="0" w:noHBand="0" w:noVBand="1" w:val="04A0"/>
      </w:tblPr>
      <w:tblGrid>
        <w:gridCol w:w="3408"/>
        <w:gridCol w:w="3408"/>
        <w:gridCol w:w="3408"/>
      </w:tblGrid>
      <w:tr>
        <w:tc>
          <w:tcPr>
            <w:tcW w:type="dxa" w:w="2100"/>
            <w:shd w:fill="0B3C5D"/>
            <w:tcBorders>
              <w:top w:val="single" w:sz="8" w:space="0" w:color="0B3C5D"/>
              <w:left w:val="single" w:sz="8" w:space="0" w:color="0B3C5D"/>
              <w:bottom w:val="single" w:sz="8" w:space="0" w:color="0B3C5D"/>
              <w:right w:val="single" w:sz="8" w:space="0" w:color="0B3C5D"/>
            </w:tcBorders>
            <w:tcMar>
              <w:top w:w="90" w:type="dxa"/>
              <w:start w:w="90" w:type="dxa"/>
              <w:bottom w:w="90" w:type="dxa"/>
              <w:end w:w="90" w:type="dxa"/>
            </w:tcMar>
            <w:vAlign w:val="center"/>
          </w:tcPr>
          <w:p>
            <w:pPr>
              <w:spacing w:after="0"/>
            </w:pPr>
            <w:r>
              <w:rPr>
                <w:rFonts w:ascii="Arial" w:hAnsi="Arial"/>
                <w:b/>
                <w:color w:val="FFFFFF"/>
                <w:sz w:val="17"/>
              </w:rPr>
              <w:t>Category</w:t>
            </w:r>
          </w:p>
        </w:tc>
        <w:tc>
          <w:tcPr>
            <w:tcW w:type="dxa" w:w="3800"/>
            <w:shd w:fill="0B3C5D"/>
            <w:tcBorders>
              <w:top w:val="single" w:sz="8" w:space="0" w:color="0B3C5D"/>
              <w:left w:val="single" w:sz="8" w:space="0" w:color="0B3C5D"/>
              <w:bottom w:val="single" w:sz="8" w:space="0" w:color="0B3C5D"/>
              <w:right w:val="single" w:sz="8" w:space="0" w:color="0B3C5D"/>
            </w:tcBorders>
            <w:tcMar>
              <w:top w:w="90" w:type="dxa"/>
              <w:start w:w="90" w:type="dxa"/>
              <w:bottom w:w="90" w:type="dxa"/>
              <w:end w:w="90" w:type="dxa"/>
            </w:tcMar>
            <w:vAlign w:val="center"/>
          </w:tcPr>
          <w:p>
            <w:pPr>
              <w:spacing w:after="0"/>
            </w:pPr>
            <w:r>
              <w:rPr>
                <w:rFonts w:ascii="Arial" w:hAnsi="Arial"/>
                <w:b/>
                <w:color w:val="FFFFFF"/>
                <w:sz w:val="17"/>
              </w:rPr>
              <w:t>Example Game Ideas</w:t>
            </w:r>
          </w:p>
        </w:tc>
        <w:tc>
          <w:tcPr>
            <w:tcW w:type="dxa" w:w="3600"/>
            <w:shd w:fill="0B3C5D"/>
            <w:tcBorders>
              <w:top w:val="single" w:sz="8" w:space="0" w:color="0B3C5D"/>
              <w:left w:val="single" w:sz="8" w:space="0" w:color="0B3C5D"/>
              <w:bottom w:val="single" w:sz="8" w:space="0" w:color="0B3C5D"/>
              <w:right w:val="single" w:sz="8" w:space="0" w:color="0B3C5D"/>
            </w:tcBorders>
            <w:tcMar>
              <w:top w:w="90" w:type="dxa"/>
              <w:start w:w="90" w:type="dxa"/>
              <w:bottom w:w="90" w:type="dxa"/>
              <w:end w:w="90" w:type="dxa"/>
            </w:tcMar>
            <w:vAlign w:val="center"/>
          </w:tcPr>
          <w:p>
            <w:pPr>
              <w:spacing w:after="0"/>
            </w:pPr>
            <w:r>
              <w:rPr>
                <w:rFonts w:ascii="Arial" w:hAnsi="Arial"/>
                <w:b/>
                <w:color w:val="FFFFFF"/>
                <w:sz w:val="17"/>
              </w:rPr>
              <w:t>Business Purpose</w:t>
            </w:r>
          </w:p>
        </w:tc>
      </w:tr>
      <w:tr>
        <w:tc>
          <w:tcPr>
            <w:tcW w:type="dxa" w:w="21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Team Bonding Games</w:t>
            </w:r>
          </w:p>
        </w:tc>
        <w:tc>
          <w:tcPr>
            <w:tcW w:type="dxa" w:w="38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Trivia, icebreakers, guess the colleague, team bingo</w:t>
            </w:r>
          </w:p>
        </w:tc>
        <w:tc>
          <w:tcPr>
            <w:tcW w:type="dxa" w:w="36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Improve connection and cross-team familiarity</w:t>
            </w:r>
          </w:p>
        </w:tc>
      </w:tr>
      <w:tr>
        <w:tc>
          <w:tcPr>
            <w:tcW w:type="dxa" w:w="21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Learning Reinforcement Games</w:t>
            </w:r>
          </w:p>
        </w:tc>
        <w:tc>
          <w:tcPr>
            <w:tcW w:type="dxa" w:w="38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Post-training quizzes, knowledge battles, scenario challenges</w:t>
            </w:r>
          </w:p>
        </w:tc>
        <w:tc>
          <w:tcPr>
            <w:tcW w:type="dxa" w:w="36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Improve retention after training programs</w:t>
            </w:r>
          </w:p>
        </w:tc>
      </w:tr>
      <w:tr>
        <w:tc>
          <w:tcPr>
            <w:tcW w:type="dxa" w:w="21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Leadership Games</w:t>
            </w:r>
          </w:p>
        </w:tc>
        <w:tc>
          <w:tcPr>
            <w:tcW w:type="dxa" w:w="38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Decision simulations, conflict response games, delegation challenges</w:t>
            </w:r>
          </w:p>
        </w:tc>
        <w:tc>
          <w:tcPr>
            <w:tcW w:type="dxa" w:w="36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Build leadership judgment and behavioral awareness</w:t>
            </w:r>
          </w:p>
        </w:tc>
      </w:tr>
      <w:tr>
        <w:tc>
          <w:tcPr>
            <w:tcW w:type="dxa" w:w="21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Communication Games</w:t>
            </w:r>
          </w:p>
        </w:tc>
        <w:tc>
          <w:tcPr>
            <w:tcW w:type="dxa" w:w="38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Listening challenges, role-play prompts, message clarity games</w:t>
            </w:r>
          </w:p>
        </w:tc>
        <w:tc>
          <w:tcPr>
            <w:tcW w:type="dxa" w:w="36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Improve workplace communication</w:t>
            </w:r>
          </w:p>
        </w:tc>
      </w:tr>
      <w:tr>
        <w:tc>
          <w:tcPr>
            <w:tcW w:type="dxa" w:w="21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Problem-Solving Games</w:t>
            </w:r>
          </w:p>
        </w:tc>
        <w:tc>
          <w:tcPr>
            <w:tcW w:type="dxa" w:w="38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Puzzles, virtual escape rooms, logic challenges</w:t>
            </w:r>
          </w:p>
        </w:tc>
        <w:tc>
          <w:tcPr>
            <w:tcW w:type="dxa" w:w="36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Strengthen collaboration and critical thinking</w:t>
            </w:r>
          </w:p>
        </w:tc>
      </w:tr>
      <w:tr>
        <w:tc>
          <w:tcPr>
            <w:tcW w:type="dxa" w:w="21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Wellness Games</w:t>
            </w:r>
          </w:p>
        </w:tc>
        <w:tc>
          <w:tcPr>
            <w:tcW w:type="dxa" w:w="38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Habit challenges, step challenges, mindfulness streaks</w:t>
            </w:r>
          </w:p>
        </w:tc>
        <w:tc>
          <w:tcPr>
            <w:tcW w:type="dxa" w:w="36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Support employee wellbeing initiatives</w:t>
            </w:r>
          </w:p>
        </w:tc>
      </w:tr>
      <w:tr>
        <w:tc>
          <w:tcPr>
            <w:tcW w:type="dxa" w:w="21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Culture Games</w:t>
            </w:r>
          </w:p>
        </w:tc>
        <w:tc>
          <w:tcPr>
            <w:tcW w:type="dxa" w:w="38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Company values quiz, onboarding games, policy awareness games</w:t>
            </w:r>
          </w:p>
        </w:tc>
        <w:tc>
          <w:tcPr>
            <w:tcW w:type="dxa" w:w="36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Improve internal culture and onboarding</w:t>
            </w:r>
          </w:p>
        </w:tc>
      </w:tr>
      <w:tr>
        <w:tc>
          <w:tcPr>
            <w:tcW w:type="dxa" w:w="21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Sales and Customer Service Games</w:t>
            </w:r>
          </w:p>
        </w:tc>
        <w:tc>
          <w:tcPr>
            <w:tcW w:type="dxa" w:w="38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Objection handling, negotiation roleplays, customer empathy scenarios</w:t>
            </w:r>
          </w:p>
        </w:tc>
        <w:tc>
          <w:tcPr>
            <w:tcW w:type="dxa" w:w="36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Support role-specific capability building</w:t>
            </w:r>
          </w:p>
        </w:tc>
      </w:tr>
    </w:tbl>
    <w:p>
      <w:pPr>
        <w:spacing w:after="40"/>
      </w:pPr>
    </w:p>
    <w:p>
      <w:pPr>
        <w:pStyle w:val="Heading1"/>
        <w:spacing w:before="200" w:after="80"/>
      </w:pPr>
      <w:r>
        <w:t>6. Platform Feature Concept</w:t>
      </w:r>
    </w:p>
    <w:p>
      <w:pPr>
        <w:pStyle w:val="Heading2"/>
        <w:spacing w:before="120" w:after="80"/>
      </w:pPr>
      <w:r>
        <w:t>Employer / Admin Features</w:t>
      </w:r>
    </w:p>
    <w:p>
      <w:pPr>
        <w:pStyle w:val="ListBullet"/>
        <w:spacing w:after="40" w:line="252" w:lineRule="auto"/>
      </w:pPr>
      <w:r>
        <w:rPr>
          <w:rFonts w:ascii="Arial" w:hAnsi="Arial"/>
          <w:color w:val="4B5563"/>
          <w:sz w:val="18"/>
        </w:rPr>
        <w:t>Create a private company game space.</w:t>
      </w:r>
    </w:p>
    <w:p>
      <w:pPr>
        <w:pStyle w:val="ListBullet"/>
        <w:spacing w:after="40" w:line="252" w:lineRule="auto"/>
      </w:pPr>
      <w:r>
        <w:rPr>
          <w:rFonts w:ascii="Arial" w:hAnsi="Arial"/>
          <w:color w:val="4B5563"/>
          <w:sz w:val="18"/>
        </w:rPr>
        <w:t>Invite employees through email, link, or department-wise upload.</w:t>
      </w:r>
    </w:p>
    <w:p>
      <w:pPr>
        <w:pStyle w:val="ListBullet"/>
        <w:spacing w:after="40" w:line="252" w:lineRule="auto"/>
      </w:pPr>
      <w:r>
        <w:rPr>
          <w:rFonts w:ascii="Arial" w:hAnsi="Arial"/>
          <w:color w:val="4B5563"/>
          <w:sz w:val="18"/>
        </w:rPr>
        <w:t>Create teams by department, location, project, or cohort.</w:t>
      </w:r>
    </w:p>
    <w:p>
      <w:pPr>
        <w:pStyle w:val="ListBullet"/>
        <w:spacing w:after="40" w:line="252" w:lineRule="auto"/>
      </w:pPr>
      <w:r>
        <w:rPr>
          <w:rFonts w:ascii="Arial" w:hAnsi="Arial"/>
          <w:color w:val="4B5563"/>
          <w:sz w:val="18"/>
        </w:rPr>
        <w:t>Select games from a ready-made engagement library.</w:t>
      </w:r>
    </w:p>
    <w:p>
      <w:pPr>
        <w:pStyle w:val="ListBullet"/>
        <w:spacing w:after="40" w:line="252" w:lineRule="auto"/>
      </w:pPr>
      <w:r>
        <w:rPr>
          <w:rFonts w:ascii="Arial" w:hAnsi="Arial"/>
          <w:color w:val="4B5563"/>
          <w:sz w:val="18"/>
        </w:rPr>
        <w:t>Run live games or asynchronous challenges.</w:t>
      </w:r>
    </w:p>
    <w:p>
      <w:pPr>
        <w:pStyle w:val="ListBullet"/>
        <w:spacing w:after="40" w:line="252" w:lineRule="auto"/>
      </w:pPr>
      <w:r>
        <w:rPr>
          <w:rFonts w:ascii="Arial" w:hAnsi="Arial"/>
          <w:color w:val="4B5563"/>
          <w:sz w:val="18"/>
        </w:rPr>
        <w:t>View leaderboards, participation reports, and engagement trends.</w:t>
      </w:r>
    </w:p>
    <w:p>
      <w:pPr>
        <w:pStyle w:val="ListBullet"/>
        <w:spacing w:after="40" w:line="252" w:lineRule="auto"/>
      </w:pPr>
      <w:r>
        <w:rPr>
          <w:rFonts w:ascii="Arial" w:hAnsi="Arial"/>
          <w:color w:val="4B5563"/>
          <w:sz w:val="18"/>
        </w:rPr>
        <w:t>Customize company branding, themes, and challenge names.</w:t>
      </w:r>
    </w:p>
    <w:p>
      <w:pPr>
        <w:pStyle w:val="ListBullet"/>
        <w:spacing w:after="40" w:line="252" w:lineRule="auto"/>
      </w:pPr>
      <w:r>
        <w:rPr>
          <w:rFonts w:ascii="Arial" w:hAnsi="Arial"/>
          <w:color w:val="4B5563"/>
          <w:sz w:val="18"/>
        </w:rPr>
        <w:t>Schedule recurring engagement activities.</w:t>
      </w:r>
    </w:p>
    <w:p>
      <w:pPr>
        <w:pStyle w:val="ListBullet"/>
        <w:spacing w:after="40" w:line="252" w:lineRule="auto"/>
      </w:pPr>
      <w:r>
        <w:rPr>
          <w:rFonts w:ascii="Arial" w:hAnsi="Arial"/>
          <w:color w:val="4B5563"/>
          <w:sz w:val="18"/>
        </w:rPr>
        <w:t>Download activity reports for HR and L&amp;D reviews.</w:t>
      </w:r>
    </w:p>
    <w:p>
      <w:pPr>
        <w:pStyle w:val="Heading2"/>
        <w:spacing w:before="120" w:after="80"/>
      </w:pPr>
      <w:r>
        <w:t>Employee Features</w:t>
      </w:r>
    </w:p>
    <w:p>
      <w:pPr>
        <w:pStyle w:val="ListBullet"/>
        <w:spacing w:after="40" w:line="252" w:lineRule="auto"/>
      </w:pPr>
      <w:r>
        <w:rPr>
          <w:rFonts w:ascii="Arial" w:hAnsi="Arial"/>
          <w:color w:val="4B5563"/>
          <w:sz w:val="18"/>
        </w:rPr>
        <w:t>Join using a company invite link or email invitation.</w:t>
      </w:r>
    </w:p>
    <w:p>
      <w:pPr>
        <w:pStyle w:val="ListBullet"/>
        <w:spacing w:after="40" w:line="252" w:lineRule="auto"/>
      </w:pPr>
      <w:r>
        <w:rPr>
          <w:rFonts w:ascii="Arial" w:hAnsi="Arial"/>
          <w:color w:val="4B5563"/>
          <w:sz w:val="18"/>
        </w:rPr>
        <w:t>Participate in individual or team-based games.</w:t>
      </w:r>
    </w:p>
    <w:p>
      <w:pPr>
        <w:pStyle w:val="ListBullet"/>
        <w:spacing w:after="40" w:line="252" w:lineRule="auto"/>
      </w:pPr>
      <w:r>
        <w:rPr>
          <w:rFonts w:ascii="Arial" w:hAnsi="Arial"/>
          <w:color w:val="4B5563"/>
          <w:sz w:val="18"/>
        </w:rPr>
        <w:t>Earn points, badges, and recognition.</w:t>
      </w:r>
    </w:p>
    <w:p>
      <w:pPr>
        <w:pStyle w:val="ListBullet"/>
        <w:spacing w:after="40" w:line="252" w:lineRule="auto"/>
      </w:pPr>
      <w:r>
        <w:rPr>
          <w:rFonts w:ascii="Arial" w:hAnsi="Arial"/>
          <w:color w:val="4B5563"/>
          <w:sz w:val="18"/>
        </w:rPr>
        <w:t>View leaderboards and team progress.</w:t>
      </w:r>
    </w:p>
    <w:p>
      <w:pPr>
        <w:pStyle w:val="ListBullet"/>
        <w:spacing w:after="40" w:line="252" w:lineRule="auto"/>
      </w:pPr>
      <w:r>
        <w:rPr>
          <w:rFonts w:ascii="Arial" w:hAnsi="Arial"/>
          <w:color w:val="4B5563"/>
          <w:sz w:val="18"/>
        </w:rPr>
        <w:t>Join monthly challenges, onboarding games, and team events.</w:t>
      </w:r>
    </w:p>
    <w:p>
      <w:pPr>
        <w:pStyle w:val="Heading1"/>
        <w:spacing w:before="200" w:after="80"/>
      </w:pPr>
      <w:r>
        <w:t>7. Primary Use Cases</w:t>
      </w:r>
    </w:p>
    <w:tbl>
      <w:tblPr>
        <w:tblStyle w:val="TableGrid"/>
        <w:tblW w:type="auto" w:w="0"/>
        <w:jc w:val="center"/>
        <w:tblLook w:firstColumn="1" w:firstRow="1" w:lastColumn="0" w:lastRow="0" w:noHBand="0" w:noVBand="1" w:val="04A0"/>
      </w:tblPr>
      <w:tblGrid>
        <w:gridCol w:w="5112"/>
        <w:gridCol w:w="5112"/>
      </w:tblGrid>
      <w:tr>
        <w:tc>
          <w:tcPr>
            <w:tcW w:type="dxa" w:w="2800"/>
            <w:shd w:fill="0B3C5D"/>
            <w:tcBorders>
              <w:top w:val="single" w:sz="8" w:space="0" w:color="0B3C5D"/>
              <w:left w:val="single" w:sz="8" w:space="0" w:color="0B3C5D"/>
              <w:bottom w:val="single" w:sz="8" w:space="0" w:color="0B3C5D"/>
              <w:right w:val="single" w:sz="8" w:space="0" w:color="0B3C5D"/>
            </w:tcBorders>
            <w:tcMar>
              <w:top w:w="90" w:type="dxa"/>
              <w:start w:w="90" w:type="dxa"/>
              <w:bottom w:w="90" w:type="dxa"/>
              <w:end w:w="90" w:type="dxa"/>
            </w:tcMar>
            <w:vAlign w:val="center"/>
          </w:tcPr>
          <w:p>
            <w:pPr>
              <w:spacing w:after="0"/>
            </w:pPr>
            <w:r>
              <w:rPr>
                <w:rFonts w:ascii="Arial" w:hAnsi="Arial"/>
                <w:b/>
                <w:color w:val="FFFFFF"/>
                <w:sz w:val="17"/>
              </w:rPr>
              <w:t>Use Case</w:t>
            </w:r>
          </w:p>
        </w:tc>
        <w:tc>
          <w:tcPr>
            <w:tcW w:type="dxa" w:w="6600"/>
            <w:shd w:fill="0B3C5D"/>
            <w:tcBorders>
              <w:top w:val="single" w:sz="8" w:space="0" w:color="0B3C5D"/>
              <w:left w:val="single" w:sz="8" w:space="0" w:color="0B3C5D"/>
              <w:bottom w:val="single" w:sz="8" w:space="0" w:color="0B3C5D"/>
              <w:right w:val="single" w:sz="8" w:space="0" w:color="0B3C5D"/>
            </w:tcBorders>
            <w:tcMar>
              <w:top w:w="90" w:type="dxa"/>
              <w:start w:w="90" w:type="dxa"/>
              <w:bottom w:w="90" w:type="dxa"/>
              <w:end w:w="90" w:type="dxa"/>
            </w:tcMar>
            <w:vAlign w:val="center"/>
          </w:tcPr>
          <w:p>
            <w:pPr>
              <w:spacing w:after="0"/>
            </w:pPr>
            <w:r>
              <w:rPr>
                <w:rFonts w:ascii="Arial" w:hAnsi="Arial"/>
                <w:b/>
                <w:color w:val="FFFFFF"/>
                <w:sz w:val="17"/>
              </w:rPr>
              <w:t>How Edstellar Engage Helps</w:t>
            </w:r>
          </w:p>
        </w:tc>
      </w:tr>
      <w:tr>
        <w:tc>
          <w:tcPr>
            <w:tcW w:type="dxa" w:w="28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Remote Team Engagement</w:t>
            </w:r>
          </w:p>
        </w:tc>
        <w:tc>
          <w:tcPr>
            <w:tcW w:type="dxa" w:w="66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Gives distributed teams a structured space to connect beyond meetings.</w:t>
            </w:r>
          </w:p>
        </w:tc>
      </w:tr>
      <w:tr>
        <w:tc>
          <w:tcPr>
            <w:tcW w:type="dxa" w:w="28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Employee Onboarding</w:t>
            </w:r>
          </w:p>
        </w:tc>
        <w:tc>
          <w:tcPr>
            <w:tcW w:type="dxa" w:w="66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Makes orientation, company values, and policy awareness more interactive.</w:t>
            </w:r>
          </w:p>
        </w:tc>
      </w:tr>
      <w:tr>
        <w:tc>
          <w:tcPr>
            <w:tcW w:type="dxa" w:w="28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Friday Fun / Monthly Activities</w:t>
            </w:r>
          </w:p>
        </w:tc>
        <w:tc>
          <w:tcPr>
            <w:tcW w:type="dxa" w:w="66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Helps HR run repeatable engagement programs without reinventing activities.</w:t>
            </w:r>
          </w:p>
        </w:tc>
      </w:tr>
      <w:tr>
        <w:tc>
          <w:tcPr>
            <w:tcW w:type="dxa" w:w="28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Post-Training Reinforcement</w:t>
            </w:r>
          </w:p>
        </w:tc>
        <w:tc>
          <w:tcPr>
            <w:tcW w:type="dxa" w:w="66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Uses quizzes and scenarios to reinforce key learning points after training.</w:t>
            </w:r>
          </w:p>
        </w:tc>
      </w:tr>
      <w:tr>
        <w:tc>
          <w:tcPr>
            <w:tcW w:type="dxa" w:w="28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Leadership Development</w:t>
            </w:r>
          </w:p>
        </w:tc>
        <w:tc>
          <w:tcPr>
            <w:tcW w:type="dxa" w:w="66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Adds simulation-based challenges for decision-making and people management.</w:t>
            </w:r>
          </w:p>
        </w:tc>
      </w:tr>
      <w:tr>
        <w:tc>
          <w:tcPr>
            <w:tcW w:type="dxa" w:w="28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Wellness Campaigns</w:t>
            </w:r>
          </w:p>
        </w:tc>
        <w:tc>
          <w:tcPr>
            <w:tcW w:type="dxa" w:w="66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Supports wellbeing through habit-based and participation-based challenges.</w:t>
            </w:r>
          </w:p>
        </w:tc>
      </w:tr>
      <w:tr>
        <w:tc>
          <w:tcPr>
            <w:tcW w:type="dxa" w:w="28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Corporate Events</w:t>
            </w:r>
          </w:p>
        </w:tc>
        <w:tc>
          <w:tcPr>
            <w:tcW w:type="dxa" w:w="66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Can be used for annual days, town halls, and team competitions.</w:t>
            </w:r>
          </w:p>
        </w:tc>
      </w:tr>
    </w:tbl>
    <w:p>
      <w:pPr>
        <w:spacing w:after="40"/>
      </w:pPr>
    </w:p>
    <w:p>
      <w:pPr>
        <w:pStyle w:val="Heading1"/>
        <w:spacing w:before="200" w:after="80"/>
      </w:pPr>
      <w:r>
        <w:t>8. MVP Scope</w:t>
      </w:r>
    </w:p>
    <w:p>
      <w:pPr>
        <w:spacing w:before="0" w:after="80" w:line="252" w:lineRule="auto"/>
      </w:pPr>
      <w:r>
        <w:t>The first version should be narrow and practical. Avoid complex multiplayer gaming mechanics at the start. Build games that are easy to deploy, measurable, and aligned with corporate use cases.</w:t>
      </w:r>
    </w:p>
    <w:tbl>
      <w:tblPr>
        <w:tblStyle w:val="TableGrid"/>
        <w:tblW w:type="auto" w:w="0"/>
        <w:jc w:val="center"/>
        <w:tblLook w:firstColumn="1" w:firstRow="1" w:lastColumn="0" w:lastRow="0" w:noHBand="0" w:noVBand="1" w:val="04A0"/>
      </w:tblPr>
      <w:tblGrid>
        <w:gridCol w:w="3408"/>
        <w:gridCol w:w="3408"/>
        <w:gridCol w:w="3408"/>
      </w:tblGrid>
      <w:tr>
        <w:tc>
          <w:tcPr>
            <w:tcW w:type="dxa" w:w="4000"/>
            <w:shd w:fill="0B3C5D"/>
            <w:tcBorders>
              <w:top w:val="single" w:sz="8" w:space="0" w:color="0B3C5D"/>
              <w:left w:val="single" w:sz="8" w:space="0" w:color="0B3C5D"/>
              <w:bottom w:val="single" w:sz="8" w:space="0" w:color="0B3C5D"/>
              <w:right w:val="single" w:sz="8" w:space="0" w:color="0B3C5D"/>
            </w:tcBorders>
            <w:tcMar>
              <w:top w:w="90" w:type="dxa"/>
              <w:start w:w="90" w:type="dxa"/>
              <w:bottom w:w="90" w:type="dxa"/>
              <w:end w:w="90" w:type="dxa"/>
            </w:tcMar>
            <w:vAlign w:val="center"/>
          </w:tcPr>
          <w:p>
            <w:pPr>
              <w:spacing w:after="0"/>
            </w:pPr>
            <w:r>
              <w:rPr>
                <w:rFonts w:ascii="Arial" w:hAnsi="Arial"/>
                <w:b/>
                <w:color w:val="FFFFFF"/>
                <w:sz w:val="17"/>
              </w:rPr>
              <w:t>MVP Feature</w:t>
            </w:r>
          </w:p>
        </w:tc>
        <w:tc>
          <w:tcPr>
            <w:tcW w:type="dxa" w:w="1400"/>
            <w:shd w:fill="0B3C5D"/>
            <w:tcBorders>
              <w:top w:val="single" w:sz="8" w:space="0" w:color="0B3C5D"/>
              <w:left w:val="single" w:sz="8" w:space="0" w:color="0B3C5D"/>
              <w:bottom w:val="single" w:sz="8" w:space="0" w:color="0B3C5D"/>
              <w:right w:val="single" w:sz="8" w:space="0" w:color="0B3C5D"/>
            </w:tcBorders>
            <w:tcMar>
              <w:top w:w="90" w:type="dxa"/>
              <w:start w:w="90" w:type="dxa"/>
              <w:bottom w:w="90" w:type="dxa"/>
              <w:end w:w="90" w:type="dxa"/>
            </w:tcMar>
            <w:vAlign w:val="center"/>
          </w:tcPr>
          <w:p>
            <w:pPr>
              <w:spacing w:after="0"/>
            </w:pPr>
            <w:r>
              <w:rPr>
                <w:rFonts w:ascii="Arial" w:hAnsi="Arial"/>
                <w:b/>
                <w:color w:val="FFFFFF"/>
                <w:sz w:val="17"/>
              </w:rPr>
              <w:t>Priority</w:t>
            </w:r>
          </w:p>
        </w:tc>
        <w:tc>
          <w:tcPr>
            <w:tcW w:type="dxa" w:w="4000"/>
            <w:shd w:fill="0B3C5D"/>
            <w:tcBorders>
              <w:top w:val="single" w:sz="8" w:space="0" w:color="0B3C5D"/>
              <w:left w:val="single" w:sz="8" w:space="0" w:color="0B3C5D"/>
              <w:bottom w:val="single" w:sz="8" w:space="0" w:color="0B3C5D"/>
              <w:right w:val="single" w:sz="8" w:space="0" w:color="0B3C5D"/>
            </w:tcBorders>
            <w:tcMar>
              <w:top w:w="90" w:type="dxa"/>
              <w:start w:w="90" w:type="dxa"/>
              <w:bottom w:w="90" w:type="dxa"/>
              <w:end w:w="90" w:type="dxa"/>
            </w:tcMar>
            <w:vAlign w:val="center"/>
          </w:tcPr>
          <w:p>
            <w:pPr>
              <w:spacing w:after="0"/>
            </w:pPr>
            <w:r>
              <w:rPr>
                <w:rFonts w:ascii="Arial" w:hAnsi="Arial"/>
                <w:b/>
                <w:color w:val="FFFFFF"/>
                <w:sz w:val="17"/>
              </w:rPr>
              <w:t>Notes</w:t>
            </w:r>
          </w:p>
        </w:tc>
      </w:tr>
      <w:tr>
        <w:tc>
          <w:tcPr>
            <w:tcW w:type="dxa" w:w="40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Company registration and workspace creation</w:t>
            </w:r>
          </w:p>
        </w:tc>
        <w:tc>
          <w:tcPr>
            <w:tcW w:type="dxa" w:w="14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High</w:t>
            </w:r>
          </w:p>
        </w:tc>
        <w:tc>
          <w:tcPr>
            <w:tcW w:type="dxa" w:w="40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Core platform requirement</w:t>
            </w:r>
          </w:p>
        </w:tc>
      </w:tr>
      <w:tr>
        <w:tc>
          <w:tcPr>
            <w:tcW w:type="dxa" w:w="40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Admin dashboard</w:t>
            </w:r>
          </w:p>
        </w:tc>
        <w:tc>
          <w:tcPr>
            <w:tcW w:type="dxa" w:w="14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High</w:t>
            </w:r>
          </w:p>
        </w:tc>
        <w:tc>
          <w:tcPr>
            <w:tcW w:type="dxa" w:w="40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Needed for HR/L&amp;D buyers</w:t>
            </w:r>
          </w:p>
        </w:tc>
      </w:tr>
      <w:tr>
        <w:tc>
          <w:tcPr>
            <w:tcW w:type="dxa" w:w="40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Employee invite link and email invite</w:t>
            </w:r>
          </w:p>
        </w:tc>
        <w:tc>
          <w:tcPr>
            <w:tcW w:type="dxa" w:w="14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High</w:t>
            </w:r>
          </w:p>
        </w:tc>
        <w:tc>
          <w:tcPr>
            <w:tcW w:type="dxa" w:w="40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Low-friction participation</w:t>
            </w:r>
          </w:p>
        </w:tc>
      </w:tr>
      <w:tr>
        <w:tc>
          <w:tcPr>
            <w:tcW w:type="dxa" w:w="40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Game library with 5-10 corporate-friendly games</w:t>
            </w:r>
          </w:p>
        </w:tc>
        <w:tc>
          <w:tcPr>
            <w:tcW w:type="dxa" w:w="14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High</w:t>
            </w:r>
          </w:p>
        </w:tc>
        <w:tc>
          <w:tcPr>
            <w:tcW w:type="dxa" w:w="40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Start small and test demand</w:t>
            </w:r>
          </w:p>
        </w:tc>
      </w:tr>
      <w:tr>
        <w:tc>
          <w:tcPr>
            <w:tcW w:type="dxa" w:w="40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Quiz and trivia engine</w:t>
            </w:r>
          </w:p>
        </w:tc>
        <w:tc>
          <w:tcPr>
            <w:tcW w:type="dxa" w:w="14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High</w:t>
            </w:r>
          </w:p>
        </w:tc>
        <w:tc>
          <w:tcPr>
            <w:tcW w:type="dxa" w:w="40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Fastest path to launch</w:t>
            </w:r>
          </w:p>
        </w:tc>
      </w:tr>
      <w:tr>
        <w:tc>
          <w:tcPr>
            <w:tcW w:type="dxa" w:w="40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Team leaderboard</w:t>
            </w:r>
          </w:p>
        </w:tc>
        <w:tc>
          <w:tcPr>
            <w:tcW w:type="dxa" w:w="14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High</w:t>
            </w:r>
          </w:p>
        </w:tc>
        <w:tc>
          <w:tcPr>
            <w:tcW w:type="dxa" w:w="40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Creates competition and repeat use</w:t>
            </w:r>
          </w:p>
        </w:tc>
      </w:tr>
      <w:tr>
        <w:tc>
          <w:tcPr>
            <w:tcW w:type="dxa" w:w="40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Basic engagement reports</w:t>
            </w:r>
          </w:p>
        </w:tc>
        <w:tc>
          <w:tcPr>
            <w:tcW w:type="dxa" w:w="14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High</w:t>
            </w:r>
          </w:p>
        </w:tc>
        <w:tc>
          <w:tcPr>
            <w:tcW w:type="dxa" w:w="40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Needed to justify business value</w:t>
            </w:r>
          </w:p>
        </w:tc>
      </w:tr>
      <w:tr>
        <w:tc>
          <w:tcPr>
            <w:tcW w:type="dxa" w:w="40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Custom branding</w:t>
            </w:r>
          </w:p>
        </w:tc>
        <w:tc>
          <w:tcPr>
            <w:tcW w:type="dxa" w:w="14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Medium</w:t>
            </w:r>
          </w:p>
        </w:tc>
        <w:tc>
          <w:tcPr>
            <w:tcW w:type="dxa" w:w="40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Important for enterprise but not blocking MVP</w:t>
            </w:r>
          </w:p>
        </w:tc>
      </w:tr>
      <w:tr>
        <w:tc>
          <w:tcPr>
            <w:tcW w:type="dxa" w:w="40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Badges and certificates</w:t>
            </w:r>
          </w:p>
        </w:tc>
        <w:tc>
          <w:tcPr>
            <w:tcW w:type="dxa" w:w="14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Medium</w:t>
            </w:r>
          </w:p>
        </w:tc>
        <w:tc>
          <w:tcPr>
            <w:tcW w:type="dxa" w:w="40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Useful for recognition</w:t>
            </w:r>
          </w:p>
        </w:tc>
      </w:tr>
      <w:tr>
        <w:tc>
          <w:tcPr>
            <w:tcW w:type="dxa" w:w="40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Advanced multiplayer games</w:t>
            </w:r>
          </w:p>
        </w:tc>
        <w:tc>
          <w:tcPr>
            <w:tcW w:type="dxa" w:w="14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Low for MVP</w:t>
            </w:r>
          </w:p>
        </w:tc>
        <w:tc>
          <w:tcPr>
            <w:tcW w:type="dxa" w:w="40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Expensive and risky before product-market validation</w:t>
            </w:r>
          </w:p>
        </w:tc>
      </w:tr>
    </w:tbl>
    <w:p>
      <w:pPr>
        <w:spacing w:after="40"/>
      </w:pPr>
    </w:p>
    <w:p>
      <w:pPr>
        <w:pStyle w:val="Heading1"/>
        <w:spacing w:before="200" w:after="80"/>
      </w:pPr>
      <w:r>
        <w:t>9. Monetization Model</w:t>
      </w:r>
    </w:p>
    <w:tbl>
      <w:tblPr>
        <w:tblStyle w:val="TableGrid"/>
        <w:tblW w:type="auto" w:w="0"/>
        <w:jc w:val="center"/>
        <w:tblLook w:firstColumn="1" w:firstRow="1" w:lastColumn="0" w:lastRow="0" w:noHBand="0" w:noVBand="1" w:val="04A0"/>
      </w:tblPr>
      <w:tblGrid>
        <w:gridCol w:w="3408"/>
        <w:gridCol w:w="3408"/>
        <w:gridCol w:w="3408"/>
      </w:tblGrid>
      <w:tr>
        <w:tc>
          <w:tcPr>
            <w:tcW w:type="dxa" w:w="2600"/>
            <w:shd w:fill="0B3C5D"/>
            <w:tcBorders>
              <w:top w:val="single" w:sz="8" w:space="0" w:color="0B3C5D"/>
              <w:left w:val="single" w:sz="8" w:space="0" w:color="0B3C5D"/>
              <w:bottom w:val="single" w:sz="8" w:space="0" w:color="0B3C5D"/>
              <w:right w:val="single" w:sz="8" w:space="0" w:color="0B3C5D"/>
            </w:tcBorders>
            <w:tcMar>
              <w:top w:w="90" w:type="dxa"/>
              <w:start w:w="90" w:type="dxa"/>
              <w:bottom w:w="90" w:type="dxa"/>
              <w:end w:w="90" w:type="dxa"/>
            </w:tcMar>
            <w:vAlign w:val="center"/>
          </w:tcPr>
          <w:p>
            <w:pPr>
              <w:spacing w:after="0"/>
            </w:pPr>
            <w:r>
              <w:rPr>
                <w:rFonts w:ascii="Arial" w:hAnsi="Arial"/>
                <w:b/>
                <w:color w:val="FFFFFF"/>
                <w:sz w:val="17"/>
              </w:rPr>
              <w:t>Revenue Model</w:t>
            </w:r>
          </w:p>
        </w:tc>
        <w:tc>
          <w:tcPr>
            <w:tcW w:type="dxa" w:w="2800"/>
            <w:shd w:fill="0B3C5D"/>
            <w:tcBorders>
              <w:top w:val="single" w:sz="8" w:space="0" w:color="0B3C5D"/>
              <w:left w:val="single" w:sz="8" w:space="0" w:color="0B3C5D"/>
              <w:bottom w:val="single" w:sz="8" w:space="0" w:color="0B3C5D"/>
              <w:right w:val="single" w:sz="8" w:space="0" w:color="0B3C5D"/>
            </w:tcBorders>
            <w:tcMar>
              <w:top w:w="90" w:type="dxa"/>
              <w:start w:w="90" w:type="dxa"/>
              <w:bottom w:w="90" w:type="dxa"/>
              <w:end w:w="90" w:type="dxa"/>
            </w:tcMar>
            <w:vAlign w:val="center"/>
          </w:tcPr>
          <w:p>
            <w:pPr>
              <w:spacing w:after="0"/>
            </w:pPr>
            <w:r>
              <w:rPr>
                <w:rFonts w:ascii="Arial" w:hAnsi="Arial"/>
                <w:b/>
                <w:color w:val="FFFFFF"/>
                <w:sz w:val="17"/>
              </w:rPr>
              <w:t>Best Fit</w:t>
            </w:r>
          </w:p>
        </w:tc>
        <w:tc>
          <w:tcPr>
            <w:tcW w:type="dxa" w:w="4000"/>
            <w:shd w:fill="0B3C5D"/>
            <w:tcBorders>
              <w:top w:val="single" w:sz="8" w:space="0" w:color="0B3C5D"/>
              <w:left w:val="single" w:sz="8" w:space="0" w:color="0B3C5D"/>
              <w:bottom w:val="single" w:sz="8" w:space="0" w:color="0B3C5D"/>
              <w:right w:val="single" w:sz="8" w:space="0" w:color="0B3C5D"/>
            </w:tcBorders>
            <w:tcMar>
              <w:top w:w="90" w:type="dxa"/>
              <w:start w:w="90" w:type="dxa"/>
              <w:bottom w:w="90" w:type="dxa"/>
              <w:end w:w="90" w:type="dxa"/>
            </w:tcMar>
            <w:vAlign w:val="center"/>
          </w:tcPr>
          <w:p>
            <w:pPr>
              <w:spacing w:after="0"/>
            </w:pPr>
            <w:r>
              <w:rPr>
                <w:rFonts w:ascii="Arial" w:hAnsi="Arial"/>
                <w:b/>
                <w:color w:val="FFFFFF"/>
                <w:sz w:val="17"/>
              </w:rPr>
              <w:t>Commercial Logic</w:t>
            </w:r>
          </w:p>
        </w:tc>
      </w:tr>
      <w:tr>
        <w:tc>
          <w:tcPr>
            <w:tcW w:type="dxa" w:w="26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Free Trial</w:t>
            </w:r>
          </w:p>
        </w:tc>
        <w:tc>
          <w:tcPr>
            <w:tcW w:type="dxa" w:w="28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Small pilot teams</w:t>
            </w:r>
          </w:p>
        </w:tc>
        <w:tc>
          <w:tcPr>
            <w:tcW w:type="dxa" w:w="40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Limited users, limited games, limited reports</w:t>
            </w:r>
          </w:p>
        </w:tc>
      </w:tr>
      <w:tr>
        <w:tc>
          <w:tcPr>
            <w:tcW w:type="dxa" w:w="26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Team Plan</w:t>
            </w:r>
          </w:p>
        </w:tc>
        <w:tc>
          <w:tcPr>
            <w:tcW w:type="dxa" w:w="28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50-200 employees</w:t>
            </w:r>
          </w:p>
        </w:tc>
        <w:tc>
          <w:tcPr>
            <w:tcW w:type="dxa" w:w="40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Monthly subscription for small and mid-sized teams</w:t>
            </w:r>
          </w:p>
        </w:tc>
      </w:tr>
      <w:tr>
        <w:tc>
          <w:tcPr>
            <w:tcW w:type="dxa" w:w="26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Business Plan</w:t>
            </w:r>
          </w:p>
        </w:tc>
        <w:tc>
          <w:tcPr>
            <w:tcW w:type="dxa" w:w="28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200-1000 employees</w:t>
            </w:r>
          </w:p>
        </w:tc>
        <w:tc>
          <w:tcPr>
            <w:tcW w:type="dxa" w:w="40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Per employee or per workspace pricing</w:t>
            </w:r>
          </w:p>
        </w:tc>
      </w:tr>
      <w:tr>
        <w:tc>
          <w:tcPr>
            <w:tcW w:type="dxa" w:w="26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Enterprise Plan</w:t>
            </w:r>
          </w:p>
        </w:tc>
        <w:tc>
          <w:tcPr>
            <w:tcW w:type="dxa" w:w="28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Large organizations</w:t>
            </w:r>
          </w:p>
        </w:tc>
        <w:tc>
          <w:tcPr>
            <w:tcW w:type="dxa" w:w="40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Custom pricing, branding, reports, integrations</w:t>
            </w:r>
          </w:p>
        </w:tc>
      </w:tr>
      <w:tr>
        <w:tc>
          <w:tcPr>
            <w:tcW w:type="dxa" w:w="26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Facilitated Game Sessions</w:t>
            </w:r>
          </w:p>
        </w:tc>
        <w:tc>
          <w:tcPr>
            <w:tcW w:type="dxa" w:w="28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Corporate events and L&amp;D programs</w:t>
            </w:r>
          </w:p>
        </w:tc>
        <w:tc>
          <w:tcPr>
            <w:tcW w:type="dxa" w:w="40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One-time paid virtual or in-person engagement sessions</w:t>
            </w:r>
          </w:p>
        </w:tc>
      </w:tr>
      <w:tr>
        <w:tc>
          <w:tcPr>
            <w:tcW w:type="dxa" w:w="26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Training Add-on</w:t>
            </w:r>
          </w:p>
        </w:tc>
        <w:tc>
          <w:tcPr>
            <w:tcW w:type="dxa" w:w="28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Existing Edstellar training clients</w:t>
            </w:r>
          </w:p>
        </w:tc>
        <w:tc>
          <w:tcPr>
            <w:tcW w:type="dxa" w:w="40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Post-training games and reinforcement challenges bundled with training</w:t>
            </w:r>
          </w:p>
        </w:tc>
      </w:tr>
    </w:tbl>
    <w:p>
      <w:pPr>
        <w:spacing w:after="40"/>
      </w:pPr>
    </w:p>
    <w:p>
      <w:pPr>
        <w:pStyle w:val="Heading1"/>
        <w:spacing w:before="200" w:after="80"/>
      </w:pPr>
      <w:r>
        <w:t>10. Strategic Fit with Edstellar</w:t>
      </w:r>
    </w:p>
    <w:p>
      <w:pPr>
        <w:spacing w:before="0" w:after="80" w:line="252" w:lineRule="auto"/>
      </w:pPr>
      <w:r>
        <w:t>This concept fits Edstellar only if it is connected to employee engagement, gamified learning, and workforce development. It should not appear as a separate entertainment product. The strongest fit is as an extension of Edstellar’s broader talent transformation positioning.</w:t>
      </w:r>
    </w:p>
    <w:p>
      <w:pPr>
        <w:pStyle w:val="ListBullet"/>
        <w:spacing w:after="40" w:line="252" w:lineRule="auto"/>
      </w:pPr>
      <w:r>
        <w:rPr>
          <w:rFonts w:ascii="Arial" w:hAnsi="Arial"/>
          <w:color w:val="4B5563"/>
          <w:sz w:val="18"/>
        </w:rPr>
        <w:t>Supports Edstellar’s corporate training ecosystem with post-training reinforcement.</w:t>
      </w:r>
    </w:p>
    <w:p>
      <w:pPr>
        <w:pStyle w:val="ListBullet"/>
        <w:spacing w:after="40" w:line="252" w:lineRule="auto"/>
      </w:pPr>
      <w:r>
        <w:rPr>
          <w:rFonts w:ascii="Arial" w:hAnsi="Arial"/>
          <w:color w:val="4B5563"/>
          <w:sz w:val="18"/>
        </w:rPr>
        <w:t>Creates a new entry point for HR and L&amp;D buyers who want engagement solutions.</w:t>
      </w:r>
    </w:p>
    <w:p>
      <w:pPr>
        <w:pStyle w:val="ListBullet"/>
        <w:spacing w:after="40" w:line="252" w:lineRule="auto"/>
      </w:pPr>
      <w:r>
        <w:rPr>
          <w:rFonts w:ascii="Arial" w:hAnsi="Arial"/>
          <w:color w:val="4B5563"/>
          <w:sz w:val="18"/>
        </w:rPr>
        <w:t>Can generate cross-sell opportunities for leadership training, behavioral training, wellness programs, and team-building workshops.</w:t>
      </w:r>
    </w:p>
    <w:p>
      <w:pPr>
        <w:pStyle w:val="ListBullet"/>
        <w:spacing w:after="40" w:line="252" w:lineRule="auto"/>
      </w:pPr>
      <w:r>
        <w:rPr>
          <w:rFonts w:ascii="Arial" w:hAnsi="Arial"/>
          <w:color w:val="4B5563"/>
          <w:sz w:val="18"/>
        </w:rPr>
        <w:t>Can become a lightweight SaaS-plus-service offering, combining platform access with facilitated sessions.</w:t>
      </w:r>
    </w:p>
    <w:p>
      <w:pPr>
        <w:pStyle w:val="Heading1"/>
        <w:spacing w:before="200" w:after="80"/>
      </w:pPr>
      <w:r>
        <w:t>11. Risks and What to Avoid</w:t>
      </w:r>
    </w:p>
    <w:tbl>
      <w:tblPr>
        <w:tblStyle w:val="TableGrid"/>
        <w:tblW w:type="auto" w:w="0"/>
        <w:jc w:val="center"/>
        <w:tblLook w:firstColumn="1" w:firstRow="1" w:lastColumn="0" w:lastRow="0" w:noHBand="0" w:noVBand="1" w:val="04A0"/>
      </w:tblPr>
      <w:tblGrid>
        <w:gridCol w:w="3408"/>
        <w:gridCol w:w="3408"/>
        <w:gridCol w:w="3408"/>
      </w:tblGrid>
      <w:tr>
        <w:tc>
          <w:tcPr>
            <w:tcW w:type="dxa" w:w="2600"/>
            <w:shd w:fill="0B3C5D"/>
            <w:tcBorders>
              <w:top w:val="single" w:sz="8" w:space="0" w:color="0B3C5D"/>
              <w:left w:val="single" w:sz="8" w:space="0" w:color="0B3C5D"/>
              <w:bottom w:val="single" w:sz="8" w:space="0" w:color="0B3C5D"/>
              <w:right w:val="single" w:sz="8" w:space="0" w:color="0B3C5D"/>
            </w:tcBorders>
            <w:tcMar>
              <w:top w:w="90" w:type="dxa"/>
              <w:start w:w="90" w:type="dxa"/>
              <w:bottom w:w="90" w:type="dxa"/>
              <w:end w:w="90" w:type="dxa"/>
            </w:tcMar>
            <w:vAlign w:val="center"/>
          </w:tcPr>
          <w:p>
            <w:pPr>
              <w:spacing w:after="0"/>
            </w:pPr>
            <w:r>
              <w:rPr>
                <w:rFonts w:ascii="Arial" w:hAnsi="Arial"/>
                <w:b/>
                <w:color w:val="FFFFFF"/>
                <w:sz w:val="17"/>
              </w:rPr>
              <w:t>Risk</w:t>
            </w:r>
          </w:p>
        </w:tc>
        <w:tc>
          <w:tcPr>
            <w:tcW w:type="dxa" w:w="3900"/>
            <w:shd w:fill="0B3C5D"/>
            <w:tcBorders>
              <w:top w:val="single" w:sz="8" w:space="0" w:color="0B3C5D"/>
              <w:left w:val="single" w:sz="8" w:space="0" w:color="0B3C5D"/>
              <w:bottom w:val="single" w:sz="8" w:space="0" w:color="0B3C5D"/>
              <w:right w:val="single" w:sz="8" w:space="0" w:color="0B3C5D"/>
            </w:tcBorders>
            <w:tcMar>
              <w:top w:w="90" w:type="dxa"/>
              <w:start w:w="90" w:type="dxa"/>
              <w:bottom w:w="90" w:type="dxa"/>
              <w:end w:w="90" w:type="dxa"/>
            </w:tcMar>
            <w:vAlign w:val="center"/>
          </w:tcPr>
          <w:p>
            <w:pPr>
              <w:spacing w:after="0"/>
            </w:pPr>
            <w:r>
              <w:rPr>
                <w:rFonts w:ascii="Arial" w:hAnsi="Arial"/>
                <w:b/>
                <w:color w:val="FFFFFF"/>
                <w:sz w:val="17"/>
              </w:rPr>
              <w:t>Why It Matters</w:t>
            </w:r>
          </w:p>
        </w:tc>
        <w:tc>
          <w:tcPr>
            <w:tcW w:type="dxa" w:w="3900"/>
            <w:shd w:fill="0B3C5D"/>
            <w:tcBorders>
              <w:top w:val="single" w:sz="8" w:space="0" w:color="0B3C5D"/>
              <w:left w:val="single" w:sz="8" w:space="0" w:color="0B3C5D"/>
              <w:bottom w:val="single" w:sz="8" w:space="0" w:color="0B3C5D"/>
              <w:right w:val="single" w:sz="8" w:space="0" w:color="0B3C5D"/>
            </w:tcBorders>
            <w:tcMar>
              <w:top w:w="90" w:type="dxa"/>
              <w:start w:w="90" w:type="dxa"/>
              <w:bottom w:w="90" w:type="dxa"/>
              <w:end w:w="90" w:type="dxa"/>
            </w:tcMar>
            <w:vAlign w:val="center"/>
          </w:tcPr>
          <w:p>
            <w:pPr>
              <w:spacing w:after="0"/>
            </w:pPr>
            <w:r>
              <w:rPr>
                <w:rFonts w:ascii="Arial" w:hAnsi="Arial"/>
                <w:b/>
                <w:color w:val="FFFFFF"/>
                <w:sz w:val="17"/>
              </w:rPr>
              <w:t>Recommended Action</w:t>
            </w:r>
          </w:p>
        </w:tc>
      </w:tr>
      <w:tr>
        <w:tc>
          <w:tcPr>
            <w:tcW w:type="dxa" w:w="26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Looking like a generic gaming website</w:t>
            </w:r>
          </w:p>
        </w:tc>
        <w:tc>
          <w:tcPr>
            <w:tcW w:type="dxa" w:w="39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Employers will not pay for random games.</w:t>
            </w:r>
          </w:p>
        </w:tc>
        <w:tc>
          <w:tcPr>
            <w:tcW w:type="dxa" w:w="39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Position around engagement, culture, collaboration, and learning outcomes.</w:t>
            </w:r>
          </w:p>
        </w:tc>
      </w:tr>
      <w:tr>
        <w:tc>
          <w:tcPr>
            <w:tcW w:type="dxa" w:w="26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Building too much too early</w:t>
            </w:r>
          </w:p>
        </w:tc>
        <w:tc>
          <w:tcPr>
            <w:tcW w:type="dxa" w:w="39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Complex games will increase cost and delay validation.</w:t>
            </w:r>
          </w:p>
        </w:tc>
        <w:tc>
          <w:tcPr>
            <w:tcW w:type="dxa" w:w="39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Launch with quizzes, challenges, simulations, and leaderboards.</w:t>
            </w:r>
          </w:p>
        </w:tc>
      </w:tr>
      <w:tr>
        <w:tc>
          <w:tcPr>
            <w:tcW w:type="dxa" w:w="26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Weak connection to Edstellar brand</w:t>
            </w:r>
          </w:p>
        </w:tc>
        <w:tc>
          <w:tcPr>
            <w:tcW w:type="dxa" w:w="39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A disconnected product can dilute the main brand.</w:t>
            </w:r>
          </w:p>
        </w:tc>
        <w:tc>
          <w:tcPr>
            <w:tcW w:type="dxa" w:w="39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Tie it to L&amp;D, engagement, and workforce transformation.</w:t>
            </w:r>
          </w:p>
        </w:tc>
      </w:tr>
      <w:tr>
        <w:tc>
          <w:tcPr>
            <w:tcW w:type="dxa" w:w="26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No measurable reporting</w:t>
            </w:r>
          </w:p>
        </w:tc>
        <w:tc>
          <w:tcPr>
            <w:tcW w:type="dxa" w:w="39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HR buyers need proof of participation and outcomes.</w:t>
            </w:r>
          </w:p>
        </w:tc>
        <w:tc>
          <w:tcPr>
            <w:tcW w:type="dxa" w:w="39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Build dashboards and exportable reports from version one.</w:t>
            </w:r>
          </w:p>
        </w:tc>
      </w:tr>
      <w:tr>
        <w:tc>
          <w:tcPr>
            <w:tcW w:type="dxa" w:w="26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Overusing entertainment language</w:t>
            </w:r>
          </w:p>
        </w:tc>
        <w:tc>
          <w:tcPr>
            <w:tcW w:type="dxa" w:w="39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Can feel childish or low-value.</w:t>
            </w:r>
          </w:p>
        </w:tc>
        <w:tc>
          <w:tcPr>
            <w:tcW w:type="dxa" w:w="3900"/>
            <w:tcBorders>
              <w:top w:val="single" w:sz="8" w:space="0" w:color="D9E2EC"/>
              <w:left w:val="single" w:sz="8" w:space="0" w:color="D9E2EC"/>
              <w:bottom w:val="single" w:sz="8" w:space="0" w:color="D9E2EC"/>
              <w:right w:val="single" w:sz="8" w:space="0" w:color="D9E2EC"/>
            </w:tcBorders>
            <w:tcMar>
              <w:top w:w="90" w:type="dxa"/>
              <w:start w:w="90" w:type="dxa"/>
              <w:bottom w:w="90" w:type="dxa"/>
              <w:end w:w="90" w:type="dxa"/>
            </w:tcMar>
            <w:vAlign w:val="top"/>
          </w:tcPr>
          <w:p>
            <w:pPr>
              <w:spacing w:after="0" w:line="245" w:lineRule="auto"/>
            </w:pPr>
            <w:r>
              <w:rPr>
                <w:rFonts w:ascii="Arial" w:hAnsi="Arial"/>
                <w:color w:val="4B5563"/>
                <w:sz w:val="17"/>
              </w:rPr>
              <w:t>Use enterprise language: engagement, collaboration, culture, retention.</w:t>
            </w:r>
          </w:p>
        </w:tc>
      </w:tr>
    </w:tbl>
    <w:p>
      <w:pPr>
        <w:spacing w:after="40"/>
      </w:pPr>
    </w:p>
    <w:p>
      <w:pPr>
        <w:pStyle w:val="Heading1"/>
        <w:spacing w:before="200" w:after="80"/>
      </w:pPr>
      <w:r>
        <w:t>12. Recommended Page Structure</w:t>
      </w:r>
    </w:p>
    <w:p>
      <w:pPr>
        <w:pStyle w:val="ListBullet"/>
        <w:spacing w:after="40" w:line="252" w:lineRule="auto"/>
      </w:pPr>
      <w:r>
        <w:rPr>
          <w:rFonts w:ascii="Arial" w:hAnsi="Arial"/>
          <w:color w:val="4B5563"/>
          <w:sz w:val="18"/>
        </w:rPr>
        <w:t>Hero section with clear employee engagement positioning.</w:t>
      </w:r>
    </w:p>
    <w:p>
      <w:pPr>
        <w:pStyle w:val="ListBullet"/>
        <w:spacing w:after="40" w:line="252" w:lineRule="auto"/>
      </w:pPr>
      <w:r>
        <w:rPr>
          <w:rFonts w:ascii="Arial" w:hAnsi="Arial"/>
          <w:color w:val="4B5563"/>
          <w:sz w:val="18"/>
        </w:rPr>
        <w:t>What is Edstellar Engage?</w:t>
      </w:r>
    </w:p>
    <w:p>
      <w:pPr>
        <w:pStyle w:val="ListBullet"/>
        <w:spacing w:after="40" w:line="252" w:lineRule="auto"/>
      </w:pPr>
      <w:r>
        <w:rPr>
          <w:rFonts w:ascii="Arial" w:hAnsi="Arial"/>
          <w:color w:val="4B5563"/>
          <w:sz w:val="18"/>
        </w:rPr>
        <w:t>Game categories organized by workplace use case.</w:t>
      </w:r>
    </w:p>
    <w:p>
      <w:pPr>
        <w:pStyle w:val="ListBullet"/>
        <w:spacing w:after="40" w:line="252" w:lineRule="auto"/>
      </w:pPr>
      <w:r>
        <w:rPr>
          <w:rFonts w:ascii="Arial" w:hAnsi="Arial"/>
          <w:color w:val="4B5563"/>
          <w:sz w:val="18"/>
        </w:rPr>
        <w:t>How it works for employers and employees.</w:t>
      </w:r>
    </w:p>
    <w:p>
      <w:pPr>
        <w:pStyle w:val="ListBullet"/>
        <w:spacing w:after="40" w:line="252" w:lineRule="auto"/>
      </w:pPr>
      <w:r>
        <w:rPr>
          <w:rFonts w:ascii="Arial" w:hAnsi="Arial"/>
          <w:color w:val="4B5563"/>
          <w:sz w:val="18"/>
        </w:rPr>
        <w:t>Use cases for HR, L&amp;D, and business teams.</w:t>
      </w:r>
    </w:p>
    <w:p>
      <w:pPr>
        <w:pStyle w:val="ListBullet"/>
        <w:spacing w:after="40" w:line="252" w:lineRule="auto"/>
      </w:pPr>
      <w:r>
        <w:rPr>
          <w:rFonts w:ascii="Arial" w:hAnsi="Arial"/>
          <w:color w:val="4B5563"/>
          <w:sz w:val="18"/>
        </w:rPr>
        <w:t>Features for company admins.</w:t>
      </w:r>
    </w:p>
    <w:p>
      <w:pPr>
        <w:pStyle w:val="ListBullet"/>
        <w:spacing w:after="40" w:line="252" w:lineRule="auto"/>
      </w:pPr>
      <w:r>
        <w:rPr>
          <w:rFonts w:ascii="Arial" w:hAnsi="Arial"/>
          <w:color w:val="4B5563"/>
          <w:sz w:val="18"/>
        </w:rPr>
        <w:t>Employee participation and recognition experience.</w:t>
      </w:r>
    </w:p>
    <w:p>
      <w:pPr>
        <w:pStyle w:val="ListBullet"/>
        <w:spacing w:after="40" w:line="252" w:lineRule="auto"/>
      </w:pPr>
      <w:r>
        <w:rPr>
          <w:rFonts w:ascii="Arial" w:hAnsi="Arial"/>
          <w:color w:val="4B5563"/>
          <w:sz w:val="18"/>
        </w:rPr>
        <w:t>Engagement analytics and reporting.</w:t>
      </w:r>
    </w:p>
    <w:p>
      <w:pPr>
        <w:pStyle w:val="ListBullet"/>
        <w:spacing w:after="40" w:line="252" w:lineRule="auto"/>
      </w:pPr>
      <w:r>
        <w:rPr>
          <w:rFonts w:ascii="Arial" w:hAnsi="Arial"/>
          <w:color w:val="4B5563"/>
          <w:sz w:val="18"/>
        </w:rPr>
        <w:t>Facilitated corporate game sessions.</w:t>
      </w:r>
    </w:p>
    <w:p>
      <w:pPr>
        <w:pStyle w:val="ListBullet"/>
        <w:spacing w:after="40" w:line="252" w:lineRule="auto"/>
      </w:pPr>
      <w:r>
        <w:rPr>
          <w:rFonts w:ascii="Arial" w:hAnsi="Arial"/>
          <w:color w:val="4B5563"/>
          <w:sz w:val="18"/>
        </w:rPr>
        <w:t>Pricing or request demo section.</w:t>
      </w:r>
    </w:p>
    <w:p>
      <w:pPr>
        <w:pStyle w:val="ListBullet"/>
        <w:spacing w:after="40" w:line="252" w:lineRule="auto"/>
      </w:pPr>
      <w:r>
        <w:rPr>
          <w:rFonts w:ascii="Arial" w:hAnsi="Arial"/>
          <w:color w:val="4B5563"/>
          <w:sz w:val="18"/>
        </w:rPr>
        <w:t>FAQs and final CTA.</w:t>
      </w:r>
    </w:p>
    <w:p>
      <w:pPr>
        <w:pStyle w:val="Heading1"/>
        <w:spacing w:before="200" w:after="80"/>
      </w:pPr>
      <w:r>
        <w:t>13. Sample Website Copy</w:t>
      </w:r>
    </w:p>
    <w:p>
      <w:pPr>
        <w:pStyle w:val="Heading2"/>
        <w:spacing w:before="120" w:after="80"/>
      </w:pPr>
      <w:r>
        <w:t>Hero Headline</w:t>
      </w:r>
    </w:p>
    <w:p>
      <w:pPr>
        <w:spacing w:before="0" w:after="80" w:line="252" w:lineRule="auto"/>
      </w:pPr>
      <w:r>
        <w:t>Engage Employees Through Interactive Workplace Games</w:t>
      </w:r>
    </w:p>
    <w:p>
      <w:pPr>
        <w:pStyle w:val="Heading2"/>
        <w:spacing w:before="120" w:after="80"/>
      </w:pPr>
      <w:r>
        <w:t>Hero Subheadline</w:t>
      </w:r>
    </w:p>
    <w:p>
      <w:pPr>
        <w:spacing w:before="0" w:after="80" w:line="252" w:lineRule="auto"/>
      </w:pPr>
      <w:r>
        <w:t>Create fun, structured, and meaningful employee engagement experiences with games designed for team bonding, collaboration, learning reinforcement, and workplace culture building.</w:t>
      </w:r>
    </w:p>
    <w:p>
      <w:pPr>
        <w:pStyle w:val="Heading2"/>
        <w:spacing w:before="120" w:after="80"/>
      </w:pPr>
      <w:r>
        <w:t>CTA Options</w:t>
      </w:r>
    </w:p>
    <w:p>
      <w:pPr>
        <w:pStyle w:val="ListBullet"/>
        <w:spacing w:after="40" w:line="252" w:lineRule="auto"/>
      </w:pPr>
      <w:r>
        <w:rPr>
          <w:rFonts w:ascii="Arial" w:hAnsi="Arial"/>
          <w:color w:val="4B5563"/>
          <w:sz w:val="18"/>
        </w:rPr>
        <w:t>Create Your Employee Game Room</w:t>
      </w:r>
    </w:p>
    <w:p>
      <w:pPr>
        <w:pStyle w:val="ListBullet"/>
        <w:spacing w:after="40" w:line="252" w:lineRule="auto"/>
      </w:pPr>
      <w:r>
        <w:rPr>
          <w:rFonts w:ascii="Arial" w:hAnsi="Arial"/>
          <w:color w:val="4B5563"/>
          <w:sz w:val="18"/>
        </w:rPr>
        <w:t>Explore Workplace Games</w:t>
      </w:r>
    </w:p>
    <w:p>
      <w:pPr>
        <w:pStyle w:val="ListBullet"/>
        <w:spacing w:after="40" w:line="252" w:lineRule="auto"/>
      </w:pPr>
      <w:r>
        <w:rPr>
          <w:rFonts w:ascii="Arial" w:hAnsi="Arial"/>
          <w:color w:val="4B5563"/>
          <w:sz w:val="18"/>
        </w:rPr>
        <w:t>Plan a Team Engagement Activity</w:t>
      </w:r>
    </w:p>
    <w:p>
      <w:pPr>
        <w:pStyle w:val="ListBullet"/>
        <w:spacing w:after="40" w:line="252" w:lineRule="auto"/>
      </w:pPr>
      <w:r>
        <w:rPr>
          <w:rFonts w:ascii="Arial" w:hAnsi="Arial"/>
          <w:color w:val="4B5563"/>
          <w:sz w:val="18"/>
        </w:rPr>
        <w:t>Host a Corporate Game Session</w:t>
      </w:r>
    </w:p>
    <w:p>
      <w:pPr>
        <w:pStyle w:val="Heading1"/>
        <w:spacing w:before="200" w:after="80"/>
      </w:pPr>
      <w:r>
        <w:t>14. Final Recommendation</w:t>
      </w:r>
    </w:p>
    <w:p>
      <w:pPr>
        <w:spacing w:before="0" w:after="80" w:line="252" w:lineRule="auto"/>
      </w:pPr>
      <w:r>
        <w:t>Proceed with the concept under the name Edstellar Engage and use engage.edstellar.com as the preferred subdomain. The product should be positioned as a corporate employee engagement and gamified learning platform, not as a generic games website.</w:t>
      </w:r>
    </w:p>
    <w:p>
      <w:pPr>
        <w:spacing w:before="0" w:after="80" w:line="252" w:lineRule="auto"/>
      </w:pPr>
      <w:r>
        <w:t>The first launch should focus on practical, low-complexity, high-value games such as quizzes, challenges, scenarios, leaderboards, and facilitated sessions. Validate demand with existing Edstellar clients before investing in advanced multiplayer features or a full-scale gaming engine.</w:t>
      </w:r>
    </w:p>
    <w:tbl>
      <w:tblPr>
        <w:tblW w:type="auto" w:w="0"/>
        <w:jc w:val="center"/>
        <w:tblLook w:firstColumn="1" w:firstRow="1" w:lastColumn="0" w:lastRow="0" w:noHBand="0" w:noVBand="1" w:val="04A0"/>
      </w:tblPr>
      <w:tblGrid>
        <w:gridCol w:w="10224"/>
      </w:tblGrid>
      <w:tr>
        <w:tc>
          <w:tcPr>
            <w:tcW w:type="dxa" w:w="10224"/>
            <w:shd w:fill="0B3C5D"/>
            <w:tcBorders>
              <w:top w:val="single" w:sz="8" w:space="0" w:color="0B3C5D"/>
              <w:left w:val="single" w:sz="8" w:space="0" w:color="0B3C5D"/>
              <w:bottom w:val="single" w:sz="8" w:space="0" w:color="0B3C5D"/>
              <w:right w:val="single" w:sz="8" w:space="0" w:color="0B3C5D"/>
            </w:tcBorders>
            <w:tcMar>
              <w:top w:w="160" w:type="dxa"/>
              <w:start w:w="160" w:type="dxa"/>
              <w:bottom w:w="160" w:type="dxa"/>
              <w:end w:w="160" w:type="dxa"/>
            </w:tcMar>
          </w:tcPr>
          <w:p>
            <w:pPr>
              <w:spacing w:after="0"/>
              <w:jc w:val="center"/>
            </w:pPr>
            <w:r>
              <w:rPr>
                <w:rFonts w:ascii="Arial" w:hAnsi="Arial"/>
                <w:b/>
                <w:color w:val="FFFFFF"/>
                <w:sz w:val="21"/>
              </w:rPr>
              <w:t>Decision: Build Edstellar Engage as an employee engagement and gamified learning platform, not as a generic games page.</w:t>
            </w:r>
          </w:p>
        </w:tc>
      </w:tr>
    </w:tbl>
    <w:p/>
    <w:p>
      <w:pPr>
        <w:pStyle w:val="Heading1"/>
      </w:pPr>
      <w:r>
        <w:t>15. Competitive Landscape</w:t>
      </w:r>
    </w:p>
    <w:p>
      <w:r>
        <w:rPr>
          <w:b w:val="0"/>
        </w:rPr>
        <w:t>Most HR and L&amp;D buyers already pay for at least one engagement or quiz tool. Edstellar Engage must answer 'why switch or add this?' clearly. The strongest differentiator is the bundle with Edstellar's training delivery and trainer network, not the platform features in isolation.</w:t>
      </w:r>
    </w:p>
    <w:tbl>
      <w:tblPr>
        <w:tblStyle w:val="LightGrid-Accent1"/>
        <w:tblW w:type="auto" w:w="0"/>
        <w:tblLook w:firstColumn="1" w:firstRow="1" w:lastColumn="0" w:lastRow="0" w:noHBand="0" w:noVBand="1" w:val="04A0"/>
      </w:tblPr>
      <w:tblGrid>
        <w:gridCol w:w="2045"/>
        <w:gridCol w:w="2045"/>
        <w:gridCol w:w="2045"/>
        <w:gridCol w:w="2045"/>
        <w:gridCol w:w="2045"/>
      </w:tblGrid>
      <w:tr>
        <w:tc>
          <w:tcPr>
            <w:tcW w:type="dxa" w:w="2045"/>
          </w:tcPr>
          <w:p>
            <w:r>
              <w:rPr>
                <w:b/>
              </w:rPr>
              <w:t>Competitor</w:t>
            </w:r>
          </w:p>
        </w:tc>
        <w:tc>
          <w:tcPr>
            <w:tcW w:type="dxa" w:w="2045"/>
          </w:tcPr>
          <w:p>
            <w:r>
              <w:rPr>
                <w:b/>
              </w:rPr>
              <w:t>Primary Use</w:t>
            </w:r>
          </w:p>
        </w:tc>
        <w:tc>
          <w:tcPr>
            <w:tcW w:type="dxa" w:w="2045"/>
          </w:tcPr>
          <w:p>
            <w:r>
              <w:rPr>
                <w:b/>
              </w:rPr>
              <w:t>Pricing (Indicative)</w:t>
            </w:r>
          </w:p>
        </w:tc>
        <w:tc>
          <w:tcPr>
            <w:tcW w:type="dxa" w:w="2045"/>
          </w:tcPr>
          <w:p>
            <w:r>
              <w:rPr>
                <w:b/>
              </w:rPr>
              <w:t>Strength</w:t>
            </w:r>
          </w:p>
        </w:tc>
        <w:tc>
          <w:tcPr>
            <w:tcW w:type="dxa" w:w="2045"/>
          </w:tcPr>
          <w:p>
            <w:r>
              <w:rPr>
                <w:b/>
              </w:rPr>
              <w:t>Gap Edstellar Can Exploit</w:t>
            </w:r>
          </w:p>
        </w:tc>
      </w:tr>
      <w:tr>
        <w:tc>
          <w:tcPr>
            <w:tcW w:type="dxa" w:w="2045"/>
          </w:tcPr>
          <w:p>
            <w:r>
              <w:t>Kahoot! at Work</w:t>
            </w:r>
          </w:p>
        </w:tc>
        <w:tc>
          <w:tcPr>
            <w:tcW w:type="dxa" w:w="2045"/>
          </w:tcPr>
          <w:p>
            <w:r>
              <w:t>Live quizzes, training, town halls</w:t>
            </w:r>
          </w:p>
        </w:tc>
        <w:tc>
          <w:tcPr>
            <w:tcW w:type="dxa" w:w="2045"/>
          </w:tcPr>
          <w:p>
            <w:r>
              <w:t>$17-$29/host/mo; Enterprise custom</w:t>
            </w:r>
          </w:p>
        </w:tc>
        <w:tc>
          <w:tcPr>
            <w:tcW w:type="dxa" w:w="2045"/>
          </w:tcPr>
          <w:p>
            <w:r>
              <w:t>Brand recognition, ease of use</w:t>
            </w:r>
          </w:p>
        </w:tc>
        <w:tc>
          <w:tcPr>
            <w:tcW w:type="dxa" w:w="2045"/>
          </w:tcPr>
          <w:p>
            <w:r>
              <w:t>No post-training reinforcement tied to a training catalog; no facilitator network</w:t>
            </w:r>
          </w:p>
        </w:tc>
      </w:tr>
      <w:tr>
        <w:tc>
          <w:tcPr>
            <w:tcW w:type="dxa" w:w="2045"/>
          </w:tcPr>
          <w:p>
            <w:r>
              <w:t>Mentimeter</w:t>
            </w:r>
          </w:p>
        </w:tc>
        <w:tc>
          <w:tcPr>
            <w:tcW w:type="dxa" w:w="2045"/>
          </w:tcPr>
          <w:p>
            <w:r>
              <w:t>Interactive polls, quizzes, presentations</w:t>
            </w:r>
          </w:p>
        </w:tc>
        <w:tc>
          <w:tcPr>
            <w:tcW w:type="dxa" w:w="2045"/>
          </w:tcPr>
          <w:p>
            <w:r>
              <w:t>$12-$25/presenter/mo</w:t>
            </w:r>
          </w:p>
        </w:tc>
        <w:tc>
          <w:tcPr>
            <w:tcW w:type="dxa" w:w="2045"/>
          </w:tcPr>
          <w:p>
            <w:r>
              <w:t>Presentation-first UX</w:t>
            </w:r>
          </w:p>
        </w:tc>
        <w:tc>
          <w:tcPr>
            <w:tcW w:type="dxa" w:w="2045"/>
          </w:tcPr>
          <w:p>
            <w:r>
              <w:t>Not built for sustained engagement programs or HR analytics</w:t>
            </w:r>
          </w:p>
        </w:tc>
      </w:tr>
      <w:tr>
        <w:tc>
          <w:tcPr>
            <w:tcW w:type="dxa" w:w="2045"/>
          </w:tcPr>
          <w:p>
            <w:r>
              <w:t>Gametize</w:t>
            </w:r>
          </w:p>
        </w:tc>
        <w:tc>
          <w:tcPr>
            <w:tcW w:type="dxa" w:w="2045"/>
          </w:tcPr>
          <w:p>
            <w:r>
              <w:t>Gamified engagement and learning campaigns</w:t>
            </w:r>
          </w:p>
        </w:tc>
        <w:tc>
          <w:tcPr>
            <w:tcW w:type="dxa" w:w="2045"/>
          </w:tcPr>
          <w:p>
            <w:r>
              <w:t>Custom, typically $5-$15/user/yr</w:t>
            </w:r>
          </w:p>
        </w:tc>
        <w:tc>
          <w:tcPr>
            <w:tcW w:type="dxa" w:w="2045"/>
          </w:tcPr>
          <w:p>
            <w:r>
              <w:t>Strong campaign mechanics, whitelabel</w:t>
            </w:r>
          </w:p>
        </w:tc>
        <w:tc>
          <w:tcPr>
            <w:tcW w:type="dxa" w:w="2045"/>
          </w:tcPr>
          <w:p>
            <w:r>
              <w:t>Self-serve only; no facilitated delivery; thin in India/MEA</w:t>
            </w:r>
          </w:p>
        </w:tc>
      </w:tr>
      <w:tr>
        <w:tc>
          <w:tcPr>
            <w:tcW w:type="dxa" w:w="2045"/>
          </w:tcPr>
          <w:p>
            <w:r>
              <w:t>QuizBreaker</w:t>
            </w:r>
          </w:p>
        </w:tc>
        <w:tc>
          <w:tcPr>
            <w:tcW w:type="dxa" w:w="2045"/>
          </w:tcPr>
          <w:p>
            <w:r>
              <w:t>Async team icebreakers</w:t>
            </w:r>
          </w:p>
        </w:tc>
        <w:tc>
          <w:tcPr>
            <w:tcW w:type="dxa" w:w="2045"/>
          </w:tcPr>
          <w:p>
            <w:r>
              <w:t>$3-$5/user/mo</w:t>
            </w:r>
          </w:p>
        </w:tc>
        <w:tc>
          <w:tcPr>
            <w:tcW w:type="dxa" w:w="2045"/>
          </w:tcPr>
          <w:p>
            <w:r>
              <w:t>Low-friction async format</w:t>
            </w:r>
          </w:p>
        </w:tc>
        <w:tc>
          <w:tcPr>
            <w:tcW w:type="dxa" w:w="2045"/>
          </w:tcPr>
          <w:p>
            <w:r>
              <w:t>Single use case; no learning reinforcement</w:t>
            </w:r>
          </w:p>
        </w:tc>
      </w:tr>
      <w:tr>
        <w:tc>
          <w:tcPr>
            <w:tcW w:type="dxa" w:w="2045"/>
          </w:tcPr>
          <w:p>
            <w:r>
              <w:t>Confetti</w:t>
            </w:r>
          </w:p>
        </w:tc>
        <w:tc>
          <w:tcPr>
            <w:tcW w:type="dxa" w:w="2045"/>
          </w:tcPr>
          <w:p>
            <w:r>
              <w:t>Hosted virtual team events</w:t>
            </w:r>
          </w:p>
        </w:tc>
        <w:tc>
          <w:tcPr>
            <w:tcW w:type="dxa" w:w="2045"/>
          </w:tcPr>
          <w:p>
            <w:r>
              <w:t>$20-$50/participant/event</w:t>
            </w:r>
          </w:p>
        </w:tc>
        <w:tc>
          <w:tcPr>
            <w:tcW w:type="dxa" w:w="2045"/>
          </w:tcPr>
          <w:p>
            <w:r>
              <w:t>Curated facilitated experiences</w:t>
            </w:r>
          </w:p>
        </w:tc>
        <w:tc>
          <w:tcPr>
            <w:tcW w:type="dxa" w:w="2045"/>
          </w:tcPr>
          <w:p>
            <w:r>
              <w:t>Event-only, no platform; high per-event cost</w:t>
            </w:r>
          </w:p>
        </w:tc>
      </w:tr>
      <w:tr>
        <w:tc>
          <w:tcPr>
            <w:tcW w:type="dxa" w:w="2045"/>
          </w:tcPr>
          <w:p>
            <w:r>
              <w:t>Donut (Slack)</w:t>
            </w:r>
          </w:p>
        </w:tc>
        <w:tc>
          <w:tcPr>
            <w:tcW w:type="dxa" w:w="2045"/>
          </w:tcPr>
          <w:p>
            <w:r>
              <w:t>Random pairings, intros</w:t>
            </w:r>
          </w:p>
        </w:tc>
        <w:tc>
          <w:tcPr>
            <w:tcW w:type="dxa" w:w="2045"/>
          </w:tcPr>
          <w:p>
            <w:r>
              <w:t>$49-$199/mo per workspace</w:t>
            </w:r>
          </w:p>
        </w:tc>
        <w:tc>
          <w:tcPr>
            <w:tcW w:type="dxa" w:w="2045"/>
          </w:tcPr>
          <w:p>
            <w:r>
              <w:t>Native Slack integration</w:t>
            </w:r>
          </w:p>
        </w:tc>
        <w:tc>
          <w:tcPr>
            <w:tcW w:type="dxa" w:w="2045"/>
          </w:tcPr>
          <w:p>
            <w:r>
              <w:t>Not a games platform; no reporting depth</w:t>
            </w:r>
          </w:p>
        </w:tc>
      </w:tr>
      <w:tr>
        <w:tc>
          <w:tcPr>
            <w:tcW w:type="dxa" w:w="2045"/>
          </w:tcPr>
          <w:p>
            <w:r>
              <w:t>Teambuilding.com</w:t>
            </w:r>
          </w:p>
        </w:tc>
        <w:tc>
          <w:tcPr>
            <w:tcW w:type="dxa" w:w="2045"/>
          </w:tcPr>
          <w:p>
            <w:r>
              <w:t>Facilitated team events</w:t>
            </w:r>
          </w:p>
        </w:tc>
        <w:tc>
          <w:tcPr>
            <w:tcW w:type="dxa" w:w="2045"/>
          </w:tcPr>
          <w:p>
            <w:r>
              <w:t>$25-$60/participant/event</w:t>
            </w:r>
          </w:p>
        </w:tc>
        <w:tc>
          <w:tcPr>
            <w:tcW w:type="dxa" w:w="2045"/>
          </w:tcPr>
          <w:p>
            <w:r>
              <w:t>Strong content library</w:t>
            </w:r>
          </w:p>
        </w:tc>
        <w:tc>
          <w:tcPr>
            <w:tcW w:type="dxa" w:w="2045"/>
          </w:tcPr>
          <w:p>
            <w:r>
              <w:t>Service-only; no SaaS platform or reporting</w:t>
            </w:r>
          </w:p>
        </w:tc>
      </w:tr>
    </w:tbl>
    <w:p>
      <w:r>
        <w:rPr>
          <w:b/>
        </w:rPr>
        <w:t>Why Edstellar Engage wins:</w:t>
      </w:r>
    </w:p>
    <w:p>
      <w:pPr>
        <w:pStyle w:val="ListBullet"/>
      </w:pPr>
      <w:r>
        <w:t>Bundled with an existing trainer network. Facilitated sessions at lower marginal cost than Confetti or Teambuilding.com.</w:t>
      </w:r>
    </w:p>
    <w:p>
      <w:pPr>
        <w:pStyle w:val="ListBullet"/>
      </w:pPr>
      <w:r>
        <w:t>Tied to a live training catalog. Post-training reinforcement Kahoot and Mentimeter cannot offer natively.</w:t>
      </w:r>
    </w:p>
    <w:p>
      <w:pPr>
        <w:pStyle w:val="ListBullet"/>
      </w:pPr>
      <w:r>
        <w:t>Stronger India, MEA, and APAC distribution through existing Edstellar enterprise accounts.</w:t>
      </w:r>
    </w:p>
    <w:p>
      <w:pPr>
        <w:pStyle w:val="ListBullet"/>
      </w:pPr>
      <w:r>
        <w:t>One vendor for training plus engagement plus reinforcement, reducing procurement overhead for HR buyers.</w:t>
      </w:r>
    </w:p>
    <w:p/>
    <w:p>
      <w:pPr>
        <w:pStyle w:val="Heading1"/>
      </w:pPr>
      <w:r>
        <w:t>16. Pricing Model and Per-Seat Economics</w:t>
      </w:r>
    </w:p>
    <w:p>
      <w:r>
        <w:rPr>
          <w:b w:val="0"/>
        </w:rPr>
        <w:t>Indicative pricing aligned with mid-market and enterprise HR budgets, anchored against Kahoot at Work and Gametize as primary references.</w:t>
      </w:r>
    </w:p>
    <w:tbl>
      <w:tblPr>
        <w:tblStyle w:val="LightGrid-Accent1"/>
        <w:tblW w:type="auto" w:w="0"/>
        <w:tblLook w:firstColumn="1" w:firstRow="1" w:lastColumn="0" w:lastRow="0" w:noHBand="0" w:noVBand="1" w:val="04A0"/>
      </w:tblPr>
      <w:tblGrid>
        <w:gridCol w:w="2045"/>
        <w:gridCol w:w="2045"/>
        <w:gridCol w:w="2045"/>
        <w:gridCol w:w="2045"/>
        <w:gridCol w:w="2045"/>
      </w:tblGrid>
      <w:tr>
        <w:tc>
          <w:tcPr>
            <w:tcW w:type="dxa" w:w="2045"/>
          </w:tcPr>
          <w:p>
            <w:r>
              <w:rPr>
                <w:b/>
              </w:rPr>
              <w:t>Plan</w:t>
            </w:r>
          </w:p>
        </w:tc>
        <w:tc>
          <w:tcPr>
            <w:tcW w:type="dxa" w:w="2045"/>
          </w:tcPr>
          <w:p>
            <w:r>
              <w:rPr>
                <w:b/>
              </w:rPr>
              <w:t>Target Segment</w:t>
            </w:r>
          </w:p>
        </w:tc>
        <w:tc>
          <w:tcPr>
            <w:tcW w:type="dxa" w:w="2045"/>
          </w:tcPr>
          <w:p>
            <w:r>
              <w:rPr>
                <w:b/>
              </w:rPr>
              <w:t>Price</w:t>
            </w:r>
          </w:p>
        </w:tc>
        <w:tc>
          <w:tcPr>
            <w:tcW w:type="dxa" w:w="2045"/>
          </w:tcPr>
          <w:p>
            <w:r>
              <w:rPr>
                <w:b/>
              </w:rPr>
              <w:t>Included</w:t>
            </w:r>
          </w:p>
        </w:tc>
        <w:tc>
          <w:tcPr>
            <w:tcW w:type="dxa" w:w="2045"/>
          </w:tcPr>
          <w:p>
            <w:r>
              <w:rPr>
                <w:b/>
              </w:rPr>
              <w:t>Target ARPU / Year</w:t>
            </w:r>
          </w:p>
        </w:tc>
      </w:tr>
      <w:tr>
        <w:tc>
          <w:tcPr>
            <w:tcW w:type="dxa" w:w="2045"/>
          </w:tcPr>
          <w:p>
            <w:r>
              <w:t>Free Trial</w:t>
            </w:r>
          </w:p>
        </w:tc>
        <w:tc>
          <w:tcPr>
            <w:tcW w:type="dxa" w:w="2045"/>
          </w:tcPr>
          <w:p>
            <w:r>
              <w:t>1 team, up to 25 employees</w:t>
            </w:r>
          </w:p>
        </w:tc>
        <w:tc>
          <w:tcPr>
            <w:tcW w:type="dxa" w:w="2045"/>
          </w:tcPr>
          <w:p>
            <w:r>
              <w:t>$0 for 30 days</w:t>
            </w:r>
          </w:p>
        </w:tc>
        <w:tc>
          <w:tcPr>
            <w:tcW w:type="dxa" w:w="2045"/>
          </w:tcPr>
          <w:p>
            <w:r>
              <w:t>3 games, 1 leaderboard, basic reports</w:t>
            </w:r>
          </w:p>
        </w:tc>
        <w:tc>
          <w:tcPr>
            <w:tcW w:type="dxa" w:w="2045"/>
          </w:tcPr>
          <w:p>
            <w:r>
              <w:t>$0 (acquisition)</w:t>
            </w:r>
          </w:p>
        </w:tc>
      </w:tr>
      <w:tr>
        <w:tc>
          <w:tcPr>
            <w:tcW w:type="dxa" w:w="2045"/>
          </w:tcPr>
          <w:p>
            <w:r>
              <w:t>Team Plan</w:t>
            </w:r>
          </w:p>
        </w:tc>
        <w:tc>
          <w:tcPr>
            <w:tcW w:type="dxa" w:w="2045"/>
          </w:tcPr>
          <w:p>
            <w:r>
              <w:t>50-200 employees</w:t>
            </w:r>
          </w:p>
        </w:tc>
        <w:tc>
          <w:tcPr>
            <w:tcW w:type="dxa" w:w="2045"/>
          </w:tcPr>
          <w:p>
            <w:r>
              <w:t>$3 per employee / month</w:t>
            </w:r>
          </w:p>
        </w:tc>
        <w:tc>
          <w:tcPr>
            <w:tcW w:type="dxa" w:w="2045"/>
          </w:tcPr>
          <w:p>
            <w:r>
              <w:t>Full game library, branding, monthly reports</w:t>
            </w:r>
          </w:p>
        </w:tc>
        <w:tc>
          <w:tcPr>
            <w:tcW w:type="dxa" w:w="2045"/>
          </w:tcPr>
          <w:p>
            <w:r>
              <w:t>$1,800-$7,200</w:t>
            </w:r>
          </w:p>
        </w:tc>
      </w:tr>
      <w:tr>
        <w:tc>
          <w:tcPr>
            <w:tcW w:type="dxa" w:w="2045"/>
          </w:tcPr>
          <w:p>
            <w:r>
              <w:t>Business Plan</w:t>
            </w:r>
          </w:p>
        </w:tc>
        <w:tc>
          <w:tcPr>
            <w:tcW w:type="dxa" w:w="2045"/>
          </w:tcPr>
          <w:p>
            <w:r>
              <w:t>200-1,000 employees</w:t>
            </w:r>
          </w:p>
        </w:tc>
        <w:tc>
          <w:tcPr>
            <w:tcW w:type="dxa" w:w="2045"/>
          </w:tcPr>
          <w:p>
            <w:r>
              <w:t>$2 per employee / month</w:t>
            </w:r>
          </w:p>
        </w:tc>
        <w:tc>
          <w:tcPr>
            <w:tcW w:type="dxa" w:w="2045"/>
          </w:tcPr>
          <w:p>
            <w:r>
              <w:t>Adds SSO, advanced analytics, API access</w:t>
            </w:r>
          </w:p>
        </w:tc>
        <w:tc>
          <w:tcPr>
            <w:tcW w:type="dxa" w:w="2045"/>
          </w:tcPr>
          <w:p>
            <w:r>
              <w:t>$4,800-$24,000</w:t>
            </w:r>
          </w:p>
        </w:tc>
      </w:tr>
      <w:tr>
        <w:tc>
          <w:tcPr>
            <w:tcW w:type="dxa" w:w="2045"/>
          </w:tcPr>
          <w:p>
            <w:r>
              <w:t>Enterprise Plan</w:t>
            </w:r>
          </w:p>
        </w:tc>
        <w:tc>
          <w:tcPr>
            <w:tcW w:type="dxa" w:w="2045"/>
          </w:tcPr>
          <w:p>
            <w:r>
              <w:t>1,000+ employees</w:t>
            </w:r>
          </w:p>
        </w:tc>
        <w:tc>
          <w:tcPr>
            <w:tcW w:type="dxa" w:w="2045"/>
          </w:tcPr>
          <w:p>
            <w:r>
              <w:t>From $1.25/employee/month, $25,000 floor</w:t>
            </w:r>
          </w:p>
        </w:tc>
        <w:tc>
          <w:tcPr>
            <w:tcW w:type="dxa" w:w="2045"/>
          </w:tcPr>
          <w:p>
            <w:r>
              <w:t>Custom branding, integrations, CSM, SLAs</w:t>
            </w:r>
          </w:p>
        </w:tc>
        <w:tc>
          <w:tcPr>
            <w:tcW w:type="dxa" w:w="2045"/>
          </w:tcPr>
          <w:p>
            <w:r>
              <w:t>$25,000-$150,000+</w:t>
            </w:r>
          </w:p>
        </w:tc>
      </w:tr>
      <w:tr>
        <w:tc>
          <w:tcPr>
            <w:tcW w:type="dxa" w:w="2045"/>
          </w:tcPr>
          <w:p>
            <w:r>
              <w:t>Facilitated Session</w:t>
            </w:r>
          </w:p>
        </w:tc>
        <w:tc>
          <w:tcPr>
            <w:tcW w:type="dxa" w:w="2045"/>
          </w:tcPr>
          <w:p>
            <w:r>
              <w:t>Per event</w:t>
            </w:r>
          </w:p>
        </w:tc>
        <w:tc>
          <w:tcPr>
            <w:tcW w:type="dxa" w:w="2045"/>
          </w:tcPr>
          <w:p>
            <w:r>
              <w:t>$1,500-$4,000 per session (up to 100 pax)</w:t>
            </w:r>
          </w:p>
        </w:tc>
        <w:tc>
          <w:tcPr>
            <w:tcW w:type="dxa" w:w="2045"/>
          </w:tcPr>
          <w:p>
            <w:r>
              <w:t>Edstellar facilitator + custom game design</w:t>
            </w:r>
          </w:p>
        </w:tc>
        <w:tc>
          <w:tcPr>
            <w:tcW w:type="dxa" w:w="2045"/>
          </w:tcPr>
          <w:p>
            <w:r>
              <w:t>$1,500-$4,000 per event</w:t>
            </w:r>
          </w:p>
        </w:tc>
      </w:tr>
      <w:tr>
        <w:tc>
          <w:tcPr>
            <w:tcW w:type="dxa" w:w="2045"/>
          </w:tcPr>
          <w:p>
            <w:r>
              <w:t>Training Add-on</w:t>
            </w:r>
          </w:p>
        </w:tc>
        <w:tc>
          <w:tcPr>
            <w:tcW w:type="dxa" w:w="2045"/>
          </w:tcPr>
          <w:p>
            <w:r>
              <w:t>Existing Edstellar training clients</w:t>
            </w:r>
          </w:p>
        </w:tc>
        <w:tc>
          <w:tcPr>
            <w:tcW w:type="dxa" w:w="2045"/>
          </w:tcPr>
          <w:p>
            <w:r>
              <w:t>15-20% uplift on training contract</w:t>
            </w:r>
          </w:p>
        </w:tc>
        <w:tc>
          <w:tcPr>
            <w:tcW w:type="dxa" w:w="2045"/>
          </w:tcPr>
          <w:p>
            <w:r>
              <w:t>Post-training reinforcement games, 90-day access</w:t>
            </w:r>
          </w:p>
        </w:tc>
        <w:tc>
          <w:tcPr>
            <w:tcW w:type="dxa" w:w="2045"/>
          </w:tcPr>
          <w:p>
            <w:r>
              <w:t>Tied to training deal size</w:t>
            </w:r>
          </w:p>
        </w:tc>
      </w:tr>
    </w:tbl>
    <w:p>
      <w:r>
        <w:rPr>
          <w:b w:val="0"/>
        </w:rPr>
        <w:t>Year 1 model: 40 paying accounts (Team + Business), 8 Enterprise pilots, 60 facilitated sessions, 25% attach rate of the Training Add-on across existing Edstellar deals. Indicative Year 1 ARR target: $600K-$900K, with facilitated sessions and the Training Add-on contributing 50-60% of revenue.</w:t>
      </w:r>
    </w:p>
    <w:p/>
    <w:p>
      <w:pPr>
        <w:pStyle w:val="Heading1"/>
      </w:pPr>
      <w:r>
        <w:t>17. Build vs. Buy vs. Whitelabel</w:t>
      </w:r>
    </w:p>
    <w:p>
      <w:r>
        <w:rPr>
          <w:b w:val="0"/>
        </w:rPr>
        <w:t>Building from scratch is the slowest and riskiest path. The recommended approach is whitelabel-first for MVP, with selective in-house build for the highest-leverage modules.</w:t>
      </w:r>
    </w:p>
    <w:tbl>
      <w:tblPr>
        <w:tblStyle w:val="LightGrid-Accent1"/>
        <w:tblW w:type="auto" w:w="0"/>
        <w:tblLook w:firstColumn="1" w:firstRow="1" w:lastColumn="0" w:lastRow="0" w:noHBand="0" w:noVBand="1" w:val="04A0"/>
      </w:tblPr>
      <w:tblGrid>
        <w:gridCol w:w="2045"/>
        <w:gridCol w:w="2045"/>
        <w:gridCol w:w="2045"/>
        <w:gridCol w:w="2045"/>
        <w:gridCol w:w="2045"/>
      </w:tblGrid>
      <w:tr>
        <w:tc>
          <w:tcPr>
            <w:tcW w:type="dxa" w:w="2045"/>
          </w:tcPr>
          <w:p>
            <w:r>
              <w:rPr>
                <w:b/>
              </w:rPr>
              <w:t>Approach</w:t>
            </w:r>
          </w:p>
        </w:tc>
        <w:tc>
          <w:tcPr>
            <w:tcW w:type="dxa" w:w="2045"/>
          </w:tcPr>
          <w:p>
            <w:r>
              <w:rPr>
                <w:b/>
              </w:rPr>
              <w:t>Time to Market</w:t>
            </w:r>
          </w:p>
        </w:tc>
        <w:tc>
          <w:tcPr>
            <w:tcW w:type="dxa" w:w="2045"/>
          </w:tcPr>
          <w:p>
            <w:r>
              <w:rPr>
                <w:b/>
              </w:rPr>
              <w:t>Estimated Cost</w:t>
            </w:r>
          </w:p>
        </w:tc>
        <w:tc>
          <w:tcPr>
            <w:tcW w:type="dxa" w:w="2045"/>
          </w:tcPr>
          <w:p>
            <w:r>
              <w:rPr>
                <w:b/>
              </w:rPr>
              <w:t>Pros</w:t>
            </w:r>
          </w:p>
        </w:tc>
        <w:tc>
          <w:tcPr>
            <w:tcW w:type="dxa" w:w="2045"/>
          </w:tcPr>
          <w:p>
            <w:r>
              <w:rPr>
                <w:b/>
              </w:rPr>
              <w:t>Cons</w:t>
            </w:r>
          </w:p>
        </w:tc>
      </w:tr>
      <w:tr>
        <w:tc>
          <w:tcPr>
            <w:tcW w:type="dxa" w:w="2045"/>
          </w:tcPr>
          <w:p>
            <w:r>
              <w:t>Full in-house build</w:t>
            </w:r>
          </w:p>
        </w:tc>
        <w:tc>
          <w:tcPr>
            <w:tcW w:type="dxa" w:w="2045"/>
          </w:tcPr>
          <w:p>
            <w:r>
              <w:t>9-14 months</w:t>
            </w:r>
          </w:p>
        </w:tc>
        <w:tc>
          <w:tcPr>
            <w:tcW w:type="dxa" w:w="2045"/>
          </w:tcPr>
          <w:p>
            <w:r>
              <w:t>$250K-$500K</w:t>
            </w:r>
          </w:p>
        </w:tc>
        <w:tc>
          <w:tcPr>
            <w:tcW w:type="dxa" w:w="2045"/>
          </w:tcPr>
          <w:p>
            <w:r>
              <w:t>Full control, full margin, no vendor lock-in</w:t>
            </w:r>
          </w:p>
        </w:tc>
        <w:tc>
          <w:tcPr>
            <w:tcW w:type="dxa" w:w="2045"/>
          </w:tcPr>
          <w:p>
            <w:r>
              <w:t>High risk before validation; opportunity cost</w:t>
            </w:r>
          </w:p>
        </w:tc>
      </w:tr>
      <w:tr>
        <w:tc>
          <w:tcPr>
            <w:tcW w:type="dxa" w:w="2045"/>
          </w:tcPr>
          <w:p>
            <w:r>
              <w:t>Whitelabel (Gametize or similar)</w:t>
            </w:r>
          </w:p>
        </w:tc>
        <w:tc>
          <w:tcPr>
            <w:tcW w:type="dxa" w:w="2045"/>
          </w:tcPr>
          <w:p>
            <w:r>
              <w:t>6-10 weeks</w:t>
            </w:r>
          </w:p>
        </w:tc>
        <w:tc>
          <w:tcPr>
            <w:tcW w:type="dxa" w:w="2045"/>
          </w:tcPr>
          <w:p>
            <w:r>
              <w:t>$25K-$60K setup + $1-$3/user/yr license</w:t>
            </w:r>
          </w:p>
        </w:tc>
        <w:tc>
          <w:tcPr>
            <w:tcW w:type="dxa" w:w="2045"/>
          </w:tcPr>
          <w:p>
            <w:r>
              <w:t>Fast to market, proven engine, low risk</w:t>
            </w:r>
          </w:p>
        </w:tc>
        <w:tc>
          <w:tcPr>
            <w:tcW w:type="dxa" w:w="2045"/>
          </w:tcPr>
          <w:p>
            <w:r>
              <w:t>Licensing margin pressure; less differentiation</w:t>
            </w:r>
          </w:p>
        </w:tc>
      </w:tr>
      <w:tr>
        <w:tc>
          <w:tcPr>
            <w:tcW w:type="dxa" w:w="2045"/>
          </w:tcPr>
          <w:p>
            <w:r>
              <w:t>Hybrid (recommended)</w:t>
            </w:r>
          </w:p>
        </w:tc>
        <w:tc>
          <w:tcPr>
            <w:tcW w:type="dxa" w:w="2045"/>
          </w:tcPr>
          <w:p>
            <w:r>
              <w:t>3-4 months</w:t>
            </w:r>
          </w:p>
        </w:tc>
        <w:tc>
          <w:tcPr>
            <w:tcW w:type="dxa" w:w="2045"/>
          </w:tcPr>
          <w:p>
            <w:r>
              <w:t>$60K-$120K</w:t>
            </w:r>
          </w:p>
        </w:tc>
        <w:tc>
          <w:tcPr>
            <w:tcW w:type="dxa" w:w="2045"/>
          </w:tcPr>
          <w:p>
            <w:r>
              <w:t>Whitelabel core engine + in-house admin, reports, branding, integrations</w:t>
            </w:r>
          </w:p>
        </w:tc>
        <w:tc>
          <w:tcPr>
            <w:tcW w:type="dxa" w:w="2045"/>
          </w:tcPr>
          <w:p>
            <w:r>
              <w:t>Requires careful vendor selection and exit strategy</w:t>
            </w:r>
          </w:p>
        </w:tc>
      </w:tr>
    </w:tbl>
    <w:p>
      <w:r>
        <w:rPr>
          <w:b w:val="0"/>
        </w:rPr>
        <w:t>Recommendation: Start with a whitelabel game engine (Gametize, Centrical, or a Kahoot Enterprise OEM agreement if available). Build the admin console, reporting, branding layer, and Edstellar training-catalog integration in-house. Re-evaluate at 12 months once ARR exceeds $1M.</w:t>
      </w:r>
    </w:p>
    <w:p/>
    <w:p>
      <w:pPr>
        <w:pStyle w:val="Heading1"/>
      </w:pPr>
      <w:r>
        <w:t>18. Integrations Roadmap</w:t>
      </w:r>
    </w:p>
    <w:p>
      <w:r>
        <w:rPr>
          <w:b w:val="0"/>
        </w:rPr>
        <w:t>Enterprise HR buyers will ask about integrations within the first call. The MVP must ship with at least Slack and Microsoft Teams. SSO and HRIS sync belong on the Business plan. LMS interoperability is critical for the post-training reinforcement use case.</w:t>
      </w:r>
    </w:p>
    <w:tbl>
      <w:tblPr>
        <w:tblStyle w:val="LightGrid-Accent1"/>
        <w:tblW w:type="auto" w:w="0"/>
        <w:tblLook w:firstColumn="1" w:firstRow="1" w:lastColumn="0" w:lastRow="0" w:noHBand="0" w:noVBand="1" w:val="04A0"/>
      </w:tblPr>
      <w:tblGrid>
        <w:gridCol w:w="2556"/>
        <w:gridCol w:w="2556"/>
        <w:gridCol w:w="2556"/>
        <w:gridCol w:w="2556"/>
      </w:tblGrid>
      <w:tr>
        <w:tc>
          <w:tcPr>
            <w:tcW w:type="dxa" w:w="2556"/>
          </w:tcPr>
          <w:p>
            <w:r>
              <w:rPr>
                <w:b/>
              </w:rPr>
              <w:t>Integration</w:t>
            </w:r>
          </w:p>
        </w:tc>
        <w:tc>
          <w:tcPr>
            <w:tcW w:type="dxa" w:w="2556"/>
          </w:tcPr>
          <w:p>
            <w:r>
              <w:rPr>
                <w:b/>
              </w:rPr>
              <w:t>Category</w:t>
            </w:r>
          </w:p>
        </w:tc>
        <w:tc>
          <w:tcPr>
            <w:tcW w:type="dxa" w:w="2556"/>
          </w:tcPr>
          <w:p>
            <w:r>
              <w:rPr>
                <w:b/>
              </w:rPr>
              <w:t>Priority</w:t>
            </w:r>
          </w:p>
        </w:tc>
        <w:tc>
          <w:tcPr>
            <w:tcW w:type="dxa" w:w="2556"/>
          </w:tcPr>
          <w:p>
            <w:r>
              <w:rPr>
                <w:b/>
              </w:rPr>
              <w:t>Why It Matters</w:t>
            </w:r>
          </w:p>
        </w:tc>
      </w:tr>
      <w:tr>
        <w:tc>
          <w:tcPr>
            <w:tcW w:type="dxa" w:w="2556"/>
          </w:tcPr>
          <w:p>
            <w:r>
              <w:t>Slack</w:t>
            </w:r>
          </w:p>
        </w:tc>
        <w:tc>
          <w:tcPr>
            <w:tcW w:type="dxa" w:w="2556"/>
          </w:tcPr>
          <w:p>
            <w:r>
              <w:t>Collaboration</w:t>
            </w:r>
          </w:p>
        </w:tc>
        <w:tc>
          <w:tcPr>
            <w:tcW w:type="dxa" w:w="2556"/>
          </w:tcPr>
          <w:p>
            <w:r>
              <w:t>MVP</w:t>
            </w:r>
          </w:p>
        </w:tc>
        <w:tc>
          <w:tcPr>
            <w:tcW w:type="dxa" w:w="2556"/>
          </w:tcPr>
          <w:p>
            <w:r>
              <w:t>Game invites, leaderboards, notifications in-channel</w:t>
            </w:r>
          </w:p>
        </w:tc>
      </w:tr>
      <w:tr>
        <w:tc>
          <w:tcPr>
            <w:tcW w:type="dxa" w:w="2556"/>
          </w:tcPr>
          <w:p>
            <w:r>
              <w:t>Microsoft Teams</w:t>
            </w:r>
          </w:p>
        </w:tc>
        <w:tc>
          <w:tcPr>
            <w:tcW w:type="dxa" w:w="2556"/>
          </w:tcPr>
          <w:p>
            <w:r>
              <w:t>Collaboration</w:t>
            </w:r>
          </w:p>
        </w:tc>
        <w:tc>
          <w:tcPr>
            <w:tcW w:type="dxa" w:w="2556"/>
          </w:tcPr>
          <w:p>
            <w:r>
              <w:t>MVP</w:t>
            </w:r>
          </w:p>
        </w:tc>
        <w:tc>
          <w:tcPr>
            <w:tcW w:type="dxa" w:w="2556"/>
          </w:tcPr>
          <w:p>
            <w:r>
              <w:t>Required for most large enterprise accounts</w:t>
            </w:r>
          </w:p>
        </w:tc>
      </w:tr>
      <w:tr>
        <w:tc>
          <w:tcPr>
            <w:tcW w:type="dxa" w:w="2556"/>
          </w:tcPr>
          <w:p>
            <w:r>
              <w:t>Google Workspace SSO</w:t>
            </w:r>
          </w:p>
        </w:tc>
        <w:tc>
          <w:tcPr>
            <w:tcW w:type="dxa" w:w="2556"/>
          </w:tcPr>
          <w:p>
            <w:r>
              <w:t>Identity</w:t>
            </w:r>
          </w:p>
        </w:tc>
        <w:tc>
          <w:tcPr>
            <w:tcW w:type="dxa" w:w="2556"/>
          </w:tcPr>
          <w:p>
            <w:r>
              <w:t>MVP</w:t>
            </w:r>
          </w:p>
        </w:tc>
        <w:tc>
          <w:tcPr>
            <w:tcW w:type="dxa" w:w="2556"/>
          </w:tcPr>
          <w:p>
            <w:r>
              <w:t>Frictionless employee onboarding</w:t>
            </w:r>
          </w:p>
        </w:tc>
      </w:tr>
      <w:tr>
        <w:tc>
          <w:tcPr>
            <w:tcW w:type="dxa" w:w="2556"/>
          </w:tcPr>
          <w:p>
            <w:r>
              <w:t>SAML / Okta / Azure AD</w:t>
            </w:r>
          </w:p>
        </w:tc>
        <w:tc>
          <w:tcPr>
            <w:tcW w:type="dxa" w:w="2556"/>
          </w:tcPr>
          <w:p>
            <w:r>
              <w:t>Identity</w:t>
            </w:r>
          </w:p>
        </w:tc>
        <w:tc>
          <w:tcPr>
            <w:tcW w:type="dxa" w:w="2556"/>
          </w:tcPr>
          <w:p>
            <w:r>
              <w:t>Business+</w:t>
            </w:r>
          </w:p>
        </w:tc>
        <w:tc>
          <w:tcPr>
            <w:tcW w:type="dxa" w:w="2556"/>
          </w:tcPr>
          <w:p>
            <w:r>
              <w:t>Enterprise security requirement</w:t>
            </w:r>
          </w:p>
        </w:tc>
      </w:tr>
      <w:tr>
        <w:tc>
          <w:tcPr>
            <w:tcW w:type="dxa" w:w="2556"/>
          </w:tcPr>
          <w:p>
            <w:r>
              <w:t>Workday</w:t>
            </w:r>
          </w:p>
        </w:tc>
        <w:tc>
          <w:tcPr>
            <w:tcW w:type="dxa" w:w="2556"/>
          </w:tcPr>
          <w:p>
            <w:r>
              <w:t>HRIS</w:t>
            </w:r>
          </w:p>
        </w:tc>
        <w:tc>
          <w:tcPr>
            <w:tcW w:type="dxa" w:w="2556"/>
          </w:tcPr>
          <w:p>
            <w:r>
              <w:t>Business+</w:t>
            </w:r>
          </w:p>
        </w:tc>
        <w:tc>
          <w:tcPr>
            <w:tcW w:type="dxa" w:w="2556"/>
          </w:tcPr>
          <w:p>
            <w:r>
              <w:t>Auto-sync employee directory and departments</w:t>
            </w:r>
          </w:p>
        </w:tc>
      </w:tr>
      <w:tr>
        <w:tc>
          <w:tcPr>
            <w:tcW w:type="dxa" w:w="2556"/>
          </w:tcPr>
          <w:p>
            <w:r>
              <w:t>BambooHR</w:t>
            </w:r>
          </w:p>
        </w:tc>
        <w:tc>
          <w:tcPr>
            <w:tcW w:type="dxa" w:w="2556"/>
          </w:tcPr>
          <w:p>
            <w:r>
              <w:t>HRIS</w:t>
            </w:r>
          </w:p>
        </w:tc>
        <w:tc>
          <w:tcPr>
            <w:tcW w:type="dxa" w:w="2556"/>
          </w:tcPr>
          <w:p>
            <w:r>
              <w:t>Business+</w:t>
            </w:r>
          </w:p>
        </w:tc>
        <w:tc>
          <w:tcPr>
            <w:tcW w:type="dxa" w:w="2556"/>
          </w:tcPr>
          <w:p>
            <w:r>
              <w:t>Mid-market HR buyer favorite</w:t>
            </w:r>
          </w:p>
        </w:tc>
      </w:tr>
      <w:tr>
        <w:tc>
          <w:tcPr>
            <w:tcW w:type="dxa" w:w="2556"/>
          </w:tcPr>
          <w:p>
            <w:r>
              <w:t>SCORM 1.2 / xAPI</w:t>
            </w:r>
          </w:p>
        </w:tc>
        <w:tc>
          <w:tcPr>
            <w:tcW w:type="dxa" w:w="2556"/>
          </w:tcPr>
          <w:p>
            <w:r>
              <w:t>LMS</w:t>
            </w:r>
          </w:p>
        </w:tc>
        <w:tc>
          <w:tcPr>
            <w:tcW w:type="dxa" w:w="2556"/>
          </w:tcPr>
          <w:p>
            <w:r>
              <w:t>Phase 2</w:t>
            </w:r>
          </w:p>
        </w:tc>
        <w:tc>
          <w:tcPr>
            <w:tcW w:type="dxa" w:w="2556"/>
          </w:tcPr>
          <w:p>
            <w:r>
              <w:t>Push completions back to client LMS for reinforcement</w:t>
            </w:r>
          </w:p>
        </w:tc>
      </w:tr>
      <w:tr>
        <w:tc>
          <w:tcPr>
            <w:tcW w:type="dxa" w:w="2556"/>
          </w:tcPr>
          <w:p>
            <w:r>
              <w:t>Edstellar LMS / Training Catalog</w:t>
            </w:r>
          </w:p>
        </w:tc>
        <w:tc>
          <w:tcPr>
            <w:tcW w:type="dxa" w:w="2556"/>
          </w:tcPr>
          <w:p>
            <w:r>
              <w:t>Internal</w:t>
            </w:r>
          </w:p>
        </w:tc>
        <w:tc>
          <w:tcPr>
            <w:tcW w:type="dxa" w:w="2556"/>
          </w:tcPr>
          <w:p>
            <w:r>
              <w:t>MVP</w:t>
            </w:r>
          </w:p>
        </w:tc>
        <w:tc>
          <w:tcPr>
            <w:tcW w:type="dxa" w:w="2556"/>
          </w:tcPr>
          <w:p>
            <w:r>
              <w:t>Core to reinforcement and cross-sell story</w:t>
            </w:r>
          </w:p>
        </w:tc>
      </w:tr>
      <w:tr>
        <w:tc>
          <w:tcPr>
            <w:tcW w:type="dxa" w:w="2556"/>
          </w:tcPr>
          <w:p>
            <w:r>
              <w:t>Zoom / Google Meet</w:t>
            </w:r>
          </w:p>
        </w:tc>
        <w:tc>
          <w:tcPr>
            <w:tcW w:type="dxa" w:w="2556"/>
          </w:tcPr>
          <w:p>
            <w:r>
              <w:t>Video</w:t>
            </w:r>
          </w:p>
        </w:tc>
        <w:tc>
          <w:tcPr>
            <w:tcW w:type="dxa" w:w="2556"/>
          </w:tcPr>
          <w:p>
            <w:r>
              <w:t>Phase 2</w:t>
            </w:r>
          </w:p>
        </w:tc>
        <w:tc>
          <w:tcPr>
            <w:tcW w:type="dxa" w:w="2556"/>
          </w:tcPr>
          <w:p>
            <w:r>
              <w:t>Embed facilitated sessions in existing tooling</w:t>
            </w:r>
          </w:p>
        </w:tc>
      </w:tr>
      <w:tr>
        <w:tc>
          <w:tcPr>
            <w:tcW w:type="dxa" w:w="2556"/>
          </w:tcPr>
          <w:p>
            <w:r>
              <w:t>Zapier / Make</w:t>
            </w:r>
          </w:p>
        </w:tc>
        <w:tc>
          <w:tcPr>
            <w:tcW w:type="dxa" w:w="2556"/>
          </w:tcPr>
          <w:p>
            <w:r>
              <w:t>Automation</w:t>
            </w:r>
          </w:p>
        </w:tc>
        <w:tc>
          <w:tcPr>
            <w:tcW w:type="dxa" w:w="2556"/>
          </w:tcPr>
          <w:p>
            <w:r>
              <w:t>Phase 2</w:t>
            </w:r>
          </w:p>
        </w:tc>
        <w:tc>
          <w:tcPr>
            <w:tcW w:type="dxa" w:w="2556"/>
          </w:tcPr>
          <w:p>
            <w:r>
              <w:t>Long tail of HR tools without native connectors</w:t>
            </w:r>
          </w:p>
        </w:tc>
      </w:tr>
    </w:tbl>
    <w:p/>
    <w:p>
      <w:pPr>
        <w:pStyle w:val="Heading1"/>
      </w:pPr>
      <w:r>
        <w:t>19. Facilitated Sessions: Delivery and Unit Economics</w:t>
      </w:r>
    </w:p>
    <w:p>
      <w:r>
        <w:rPr>
          <w:b w:val="0"/>
        </w:rPr>
        <w:t>Facilitated sessions are likely the highest-margin and most defensible line. Competitors cannot match it without building a trainer network from scratch. Edstellar already has one.</w:t>
      </w:r>
    </w:p>
    <w:p>
      <w:r>
        <w:rPr>
          <w:b/>
        </w:rPr>
        <w:t>Delivery model:</w:t>
      </w:r>
    </w:p>
    <w:p>
      <w:pPr>
        <w:pStyle w:val="ListBullet"/>
      </w:pPr>
      <w:r>
        <w:t>Delivered by Edstellar's existing trainer network, certified through a 2-3 day Engage Facilitator program.</w:t>
      </w:r>
    </w:p>
    <w:p>
      <w:pPr>
        <w:pStyle w:val="ListBullet"/>
      </w:pPr>
      <w:r>
        <w:t>Two tiers: Standard (templated games, 60-90 min, 1 facilitator) and Premium (custom scenarios, 2 facilitators, post-session debrief and report).</w:t>
      </w:r>
    </w:p>
    <w:p>
      <w:pPr>
        <w:pStyle w:val="ListBullet"/>
      </w:pPr>
      <w:r>
        <w:t>Booked via the platform. Clients self-serve scheduling; the trainer pool is auto-matched by region, language, and topic.</w:t>
      </w:r>
    </w:p>
    <w:tbl>
      <w:tblPr>
        <w:tblStyle w:val="LightGrid-Accent1"/>
        <w:tblW w:type="auto" w:w="0"/>
        <w:tblLook w:firstColumn="1" w:firstRow="1" w:lastColumn="0" w:lastRow="0" w:noHBand="0" w:noVBand="1" w:val="04A0"/>
      </w:tblPr>
      <w:tblGrid>
        <w:gridCol w:w="2045"/>
        <w:gridCol w:w="2045"/>
        <w:gridCol w:w="2045"/>
        <w:gridCol w:w="2045"/>
        <w:gridCol w:w="2045"/>
      </w:tblGrid>
      <w:tr>
        <w:tc>
          <w:tcPr>
            <w:tcW w:type="dxa" w:w="2045"/>
          </w:tcPr>
          <w:p>
            <w:r>
              <w:rPr>
                <w:b/>
              </w:rPr>
              <w:t>Tier</w:t>
            </w:r>
          </w:p>
        </w:tc>
        <w:tc>
          <w:tcPr>
            <w:tcW w:type="dxa" w:w="2045"/>
          </w:tcPr>
          <w:p>
            <w:r>
              <w:rPr>
                <w:b/>
              </w:rPr>
              <w:t>Price to Client</w:t>
            </w:r>
          </w:p>
        </w:tc>
        <w:tc>
          <w:tcPr>
            <w:tcW w:type="dxa" w:w="2045"/>
          </w:tcPr>
          <w:p>
            <w:r>
              <w:rPr>
                <w:b/>
              </w:rPr>
              <w:t>Facilitator Cost</w:t>
            </w:r>
          </w:p>
        </w:tc>
        <w:tc>
          <w:tcPr>
            <w:tcW w:type="dxa" w:w="2045"/>
          </w:tcPr>
          <w:p>
            <w:r>
              <w:rPr>
                <w:b/>
              </w:rPr>
              <w:t>Platform / Content Cost</w:t>
            </w:r>
          </w:p>
        </w:tc>
        <w:tc>
          <w:tcPr>
            <w:tcW w:type="dxa" w:w="2045"/>
          </w:tcPr>
          <w:p>
            <w:r>
              <w:rPr>
                <w:b/>
              </w:rPr>
              <w:t>Gross Margin</w:t>
            </w:r>
          </w:p>
        </w:tc>
      </w:tr>
      <w:tr>
        <w:tc>
          <w:tcPr>
            <w:tcW w:type="dxa" w:w="2045"/>
          </w:tcPr>
          <w:p>
            <w:r>
              <w:t>Standard (up to 50 pax)</w:t>
            </w:r>
          </w:p>
        </w:tc>
        <w:tc>
          <w:tcPr>
            <w:tcW w:type="dxa" w:w="2045"/>
          </w:tcPr>
          <w:p>
            <w:r>
              <w:t>$1,500</w:t>
            </w:r>
          </w:p>
        </w:tc>
        <w:tc>
          <w:tcPr>
            <w:tcW w:type="dxa" w:w="2045"/>
          </w:tcPr>
          <w:p>
            <w:r>
              <w:t>$300-$500</w:t>
            </w:r>
          </w:p>
        </w:tc>
        <w:tc>
          <w:tcPr>
            <w:tcW w:type="dxa" w:w="2045"/>
          </w:tcPr>
          <w:p>
            <w:r>
              <w:t>$100</w:t>
            </w:r>
          </w:p>
        </w:tc>
        <w:tc>
          <w:tcPr>
            <w:tcW w:type="dxa" w:w="2045"/>
          </w:tcPr>
          <w:p>
            <w:r>
              <w:t>~65%</w:t>
            </w:r>
          </w:p>
        </w:tc>
      </w:tr>
      <w:tr>
        <w:tc>
          <w:tcPr>
            <w:tcW w:type="dxa" w:w="2045"/>
          </w:tcPr>
          <w:p>
            <w:r>
              <w:t>Standard (up to 100 pax)</w:t>
            </w:r>
          </w:p>
        </w:tc>
        <w:tc>
          <w:tcPr>
            <w:tcW w:type="dxa" w:w="2045"/>
          </w:tcPr>
          <w:p>
            <w:r>
              <w:t>$2,500</w:t>
            </w:r>
          </w:p>
        </w:tc>
        <w:tc>
          <w:tcPr>
            <w:tcW w:type="dxa" w:w="2045"/>
          </w:tcPr>
          <w:p>
            <w:r>
              <w:t>$500-$800</w:t>
            </w:r>
          </w:p>
        </w:tc>
        <w:tc>
          <w:tcPr>
            <w:tcW w:type="dxa" w:w="2045"/>
          </w:tcPr>
          <w:p>
            <w:r>
              <w:t>$150</w:t>
            </w:r>
          </w:p>
        </w:tc>
        <w:tc>
          <w:tcPr>
            <w:tcW w:type="dxa" w:w="2045"/>
          </w:tcPr>
          <w:p>
            <w:r>
              <w:t>~65%</w:t>
            </w:r>
          </w:p>
        </w:tc>
      </w:tr>
      <w:tr>
        <w:tc>
          <w:tcPr>
            <w:tcW w:type="dxa" w:w="2045"/>
          </w:tcPr>
          <w:p>
            <w:r>
              <w:t>Premium (custom, up to 100 pax)</w:t>
            </w:r>
          </w:p>
        </w:tc>
        <w:tc>
          <w:tcPr>
            <w:tcW w:type="dxa" w:w="2045"/>
          </w:tcPr>
          <w:p>
            <w:r>
              <w:t>$4,000</w:t>
            </w:r>
          </w:p>
        </w:tc>
        <w:tc>
          <w:tcPr>
            <w:tcW w:type="dxa" w:w="2045"/>
          </w:tcPr>
          <w:p>
            <w:r>
              <w:t>$900-$1,200</w:t>
            </w:r>
          </w:p>
        </w:tc>
        <w:tc>
          <w:tcPr>
            <w:tcW w:type="dxa" w:w="2045"/>
          </w:tcPr>
          <w:p>
            <w:r>
              <w:t>$300</w:t>
            </w:r>
          </w:p>
        </w:tc>
        <w:tc>
          <w:tcPr>
            <w:tcW w:type="dxa" w:w="2045"/>
          </w:tcPr>
          <w:p>
            <w:r>
              <w:t>~65-70%</w:t>
            </w:r>
          </w:p>
        </w:tc>
      </w:tr>
      <w:tr>
        <w:tc>
          <w:tcPr>
            <w:tcW w:type="dxa" w:w="2045"/>
          </w:tcPr>
          <w:p>
            <w:r>
              <w:t>Enterprise event (200+ pax)</w:t>
            </w:r>
          </w:p>
        </w:tc>
        <w:tc>
          <w:tcPr>
            <w:tcW w:type="dxa" w:w="2045"/>
          </w:tcPr>
          <w:p>
            <w:r>
              <w:t>$8,000-$15,000</w:t>
            </w:r>
          </w:p>
        </w:tc>
        <w:tc>
          <w:tcPr>
            <w:tcW w:type="dxa" w:w="2045"/>
          </w:tcPr>
          <w:p>
            <w:r>
              <w:t>$2,000-$3,500</w:t>
            </w:r>
          </w:p>
        </w:tc>
        <w:tc>
          <w:tcPr>
            <w:tcW w:type="dxa" w:w="2045"/>
          </w:tcPr>
          <w:p>
            <w:r>
              <w:t>$500-$1,000</w:t>
            </w:r>
          </w:p>
        </w:tc>
        <w:tc>
          <w:tcPr>
            <w:tcW w:type="dxa" w:w="2045"/>
          </w:tcPr>
          <w:p>
            <w:r>
              <w:t>~70%</w:t>
            </w:r>
          </w:p>
        </w:tc>
      </w:tr>
    </w:tbl>
    <w:p>
      <w:r>
        <w:rPr>
          <w:b w:val="0"/>
        </w:rPr>
        <w:t>At 60 sessions in Year 1 with a $2,800 average ticket and 65% gross margin, this line alone contributes ~$168K in gross profit, scaling linearly with the existing trainer network without platform engineering cost.</w:t>
      </w:r>
    </w:p>
    <w:p/>
    <w:p>
      <w:pPr>
        <w:pStyle w:val="Heading1"/>
      </w:pPr>
      <w:r>
        <w:t>20. Success Metrics and KPIs</w:t>
      </w:r>
    </w:p>
    <w:p>
      <w:r>
        <w:rPr>
          <w:b w:val="0"/>
        </w:rPr>
        <w:t>Without explicit targets, 'working' is undefined. The following are proposed North Star and supporting metrics for the first 12 months.</w:t>
      </w:r>
    </w:p>
    <w:tbl>
      <w:tblPr>
        <w:tblStyle w:val="LightGrid-Accent1"/>
        <w:tblW w:type="auto" w:w="0"/>
        <w:tblLook w:firstColumn="1" w:firstRow="1" w:lastColumn="0" w:lastRow="0" w:noHBand="0" w:noVBand="1" w:val="04A0"/>
      </w:tblPr>
      <w:tblGrid>
        <w:gridCol w:w="2556"/>
        <w:gridCol w:w="2556"/>
        <w:gridCol w:w="2556"/>
        <w:gridCol w:w="2556"/>
      </w:tblGrid>
      <w:tr>
        <w:tc>
          <w:tcPr>
            <w:tcW w:type="dxa" w:w="2556"/>
          </w:tcPr>
          <w:p>
            <w:r>
              <w:rPr>
                <w:b/>
              </w:rPr>
              <w:t>Metric</w:t>
            </w:r>
          </w:p>
        </w:tc>
        <w:tc>
          <w:tcPr>
            <w:tcW w:type="dxa" w:w="2556"/>
          </w:tcPr>
          <w:p>
            <w:r>
              <w:rPr>
                <w:b/>
              </w:rPr>
              <w:t>Definition</w:t>
            </w:r>
          </w:p>
        </w:tc>
        <w:tc>
          <w:tcPr>
            <w:tcW w:type="dxa" w:w="2556"/>
          </w:tcPr>
          <w:p>
            <w:r>
              <w:rPr>
                <w:b/>
              </w:rPr>
              <w:t>Year 1 Target</w:t>
            </w:r>
          </w:p>
        </w:tc>
        <w:tc>
          <w:tcPr>
            <w:tcW w:type="dxa" w:w="2556"/>
          </w:tcPr>
          <w:p>
            <w:r>
              <w:rPr>
                <w:b/>
              </w:rPr>
              <w:t>Why It Matters</w:t>
            </w:r>
          </w:p>
        </w:tc>
      </w:tr>
      <w:tr>
        <w:tc>
          <w:tcPr>
            <w:tcW w:type="dxa" w:w="2556"/>
          </w:tcPr>
          <w:p>
            <w:r>
              <w:t>Workspace activation rate</w:t>
            </w:r>
          </w:p>
        </w:tc>
        <w:tc>
          <w:tcPr>
            <w:tcW w:type="dxa" w:w="2556"/>
          </w:tcPr>
          <w:p>
            <w:r>
              <w:t>% of signups running 1+ game with 10+ employees in 14 days</w:t>
            </w:r>
          </w:p>
        </w:tc>
        <w:tc>
          <w:tcPr>
            <w:tcW w:type="dxa" w:w="2556"/>
          </w:tcPr>
          <w:p>
            <w:r>
              <w:t>55%</w:t>
            </w:r>
          </w:p>
        </w:tc>
        <w:tc>
          <w:tcPr>
            <w:tcW w:type="dxa" w:w="2556"/>
          </w:tcPr>
          <w:p>
            <w:r>
              <w:t>Predicts retention and expansion</w:t>
            </w:r>
          </w:p>
        </w:tc>
      </w:tr>
      <w:tr>
        <w:tc>
          <w:tcPr>
            <w:tcW w:type="dxa" w:w="2556"/>
          </w:tcPr>
          <w:p>
            <w:r>
              <w:t>Monthly Active Employees (MAE)</w:t>
            </w:r>
          </w:p>
        </w:tc>
        <w:tc>
          <w:tcPr>
            <w:tcW w:type="dxa" w:w="2556"/>
          </w:tcPr>
          <w:p>
            <w:r>
              <w:t>Unique employees playing 1+ game per month</w:t>
            </w:r>
          </w:p>
        </w:tc>
        <w:tc>
          <w:tcPr>
            <w:tcW w:type="dxa" w:w="2556"/>
          </w:tcPr>
          <w:p>
            <w:r>
              <w:t>40% of seats</w:t>
            </w:r>
          </w:p>
        </w:tc>
        <w:tc>
          <w:tcPr>
            <w:tcW w:type="dxa" w:w="2556"/>
          </w:tcPr>
          <w:p>
            <w:r>
              <w:t>Core engagement signal HR buyers track</w:t>
            </w:r>
          </w:p>
        </w:tc>
      </w:tr>
      <w:tr>
        <w:tc>
          <w:tcPr>
            <w:tcW w:type="dxa" w:w="2556"/>
          </w:tcPr>
          <w:p>
            <w:r>
              <w:t>Net Revenue Retention (NRR)</w:t>
            </w:r>
          </w:p>
        </w:tc>
        <w:tc>
          <w:tcPr>
            <w:tcW w:type="dxa" w:w="2556"/>
          </w:tcPr>
          <w:p>
            <w:r>
              <w:t>Revenue from existing accounts after expansion and churn</w:t>
            </w:r>
          </w:p>
        </w:tc>
        <w:tc>
          <w:tcPr>
            <w:tcW w:type="dxa" w:w="2556"/>
          </w:tcPr>
          <w:p>
            <w:r>
              <w:t>110%</w:t>
            </w:r>
          </w:p>
        </w:tc>
        <w:tc>
          <w:tcPr>
            <w:tcW w:type="dxa" w:w="2556"/>
          </w:tcPr>
          <w:p>
            <w:r>
              <w:t>Validates expansion motion and stickiness</w:t>
            </w:r>
          </w:p>
        </w:tc>
      </w:tr>
      <w:tr>
        <w:tc>
          <w:tcPr>
            <w:tcW w:type="dxa" w:w="2556"/>
          </w:tcPr>
          <w:p>
            <w:r>
              <w:t>Gross Logo Retention</w:t>
            </w:r>
          </w:p>
        </w:tc>
        <w:tc>
          <w:tcPr>
            <w:tcW w:type="dxa" w:w="2556"/>
          </w:tcPr>
          <w:p>
            <w:r>
              <w:t>% of paying accounts retained at renewal</w:t>
            </w:r>
          </w:p>
        </w:tc>
        <w:tc>
          <w:tcPr>
            <w:tcW w:type="dxa" w:w="2556"/>
          </w:tcPr>
          <w:p>
            <w:r>
              <w:t>85%</w:t>
            </w:r>
          </w:p>
        </w:tc>
        <w:tc>
          <w:tcPr>
            <w:tcW w:type="dxa" w:w="2556"/>
          </w:tcPr>
          <w:p>
            <w:r>
              <w:t>Validates product-market fit</w:t>
            </w:r>
          </w:p>
        </w:tc>
      </w:tr>
      <w:tr>
        <w:tc>
          <w:tcPr>
            <w:tcW w:type="dxa" w:w="2556"/>
          </w:tcPr>
          <w:p>
            <w:r>
              <w:t>NPS (admins)</w:t>
            </w:r>
          </w:p>
        </w:tc>
        <w:tc>
          <w:tcPr>
            <w:tcW w:type="dxa" w:w="2556"/>
          </w:tcPr>
          <w:p>
            <w:r>
              <w:t>Net Promoter Score from HR/L&amp;D buyers</w:t>
            </w:r>
          </w:p>
        </w:tc>
        <w:tc>
          <w:tcPr>
            <w:tcW w:type="dxa" w:w="2556"/>
          </w:tcPr>
          <w:p>
            <w:r>
              <w:t>40+</w:t>
            </w:r>
          </w:p>
        </w:tc>
        <w:tc>
          <w:tcPr>
            <w:tcW w:type="dxa" w:w="2556"/>
          </w:tcPr>
          <w:p>
            <w:r>
              <w:t>Buyer satisfaction; predicts referrals</w:t>
            </w:r>
          </w:p>
        </w:tc>
      </w:tr>
      <w:tr>
        <w:tc>
          <w:tcPr>
            <w:tcW w:type="dxa" w:w="2556"/>
          </w:tcPr>
          <w:p>
            <w:r>
              <w:t>NPS (employees)</w:t>
            </w:r>
          </w:p>
        </w:tc>
        <w:tc>
          <w:tcPr>
            <w:tcW w:type="dxa" w:w="2556"/>
          </w:tcPr>
          <w:p>
            <w:r>
              <w:t>Net Promoter Score from end users</w:t>
            </w:r>
          </w:p>
        </w:tc>
        <w:tc>
          <w:tcPr>
            <w:tcW w:type="dxa" w:w="2556"/>
          </w:tcPr>
          <w:p>
            <w:r>
              <w:t>30+</w:t>
            </w:r>
          </w:p>
        </w:tc>
        <w:tc>
          <w:tcPr>
            <w:tcW w:type="dxa" w:w="2556"/>
          </w:tcPr>
          <w:p>
            <w:r>
              <w:t>Cultural fit signal</w:t>
            </w:r>
          </w:p>
        </w:tc>
      </w:tr>
      <w:tr>
        <w:tc>
          <w:tcPr>
            <w:tcW w:type="dxa" w:w="2556"/>
          </w:tcPr>
          <w:p>
            <w:r>
              <w:t>Training Add-on attach rate</w:t>
            </w:r>
          </w:p>
        </w:tc>
        <w:tc>
          <w:tcPr>
            <w:tcW w:type="dxa" w:w="2556"/>
          </w:tcPr>
          <w:p>
            <w:r>
              <w:t>% of new Edstellar training deals including Engage</w:t>
            </w:r>
          </w:p>
        </w:tc>
        <w:tc>
          <w:tcPr>
            <w:tcW w:type="dxa" w:w="2556"/>
          </w:tcPr>
          <w:p>
            <w:r>
              <w:t>25%</w:t>
            </w:r>
          </w:p>
        </w:tc>
        <w:tc>
          <w:tcPr>
            <w:tcW w:type="dxa" w:w="2556"/>
          </w:tcPr>
          <w:p>
            <w:r>
              <w:t>Validates the cross-sell GTM thesis</w:t>
            </w:r>
          </w:p>
        </w:tc>
      </w:tr>
      <w:tr>
        <w:tc>
          <w:tcPr>
            <w:tcW w:type="dxa" w:w="2556"/>
          </w:tcPr>
          <w:p>
            <w:r>
              <w:t>Facilitated session repeat rate</w:t>
            </w:r>
          </w:p>
        </w:tc>
        <w:tc>
          <w:tcPr>
            <w:tcW w:type="dxa" w:w="2556"/>
          </w:tcPr>
          <w:p>
            <w:r>
              <w:t>% of clients booking 2+ sessions in 6 months</w:t>
            </w:r>
          </w:p>
        </w:tc>
        <w:tc>
          <w:tcPr>
            <w:tcW w:type="dxa" w:w="2556"/>
          </w:tcPr>
          <w:p>
            <w:r>
              <w:t>40%</w:t>
            </w:r>
          </w:p>
        </w:tc>
        <w:tc>
          <w:tcPr>
            <w:tcW w:type="dxa" w:w="2556"/>
          </w:tcPr>
          <w:p>
            <w:r>
              <w:t>Validates the services line</w:t>
            </w:r>
          </w:p>
        </w:tc>
      </w:tr>
      <w:tr>
        <w:tc>
          <w:tcPr>
            <w:tcW w:type="dxa" w:w="2556"/>
          </w:tcPr>
          <w:p>
            <w:r>
              <w:t>CAC payback</w:t>
            </w:r>
          </w:p>
        </w:tc>
        <w:tc>
          <w:tcPr>
            <w:tcW w:type="dxa" w:w="2556"/>
          </w:tcPr>
          <w:p>
            <w:r>
              <w:t>Months to recover acquisition cost</w:t>
            </w:r>
          </w:p>
        </w:tc>
        <w:tc>
          <w:tcPr>
            <w:tcW w:type="dxa" w:w="2556"/>
          </w:tcPr>
          <w:p>
            <w:r>
              <w:t>&lt; 12 months</w:t>
            </w:r>
          </w:p>
        </w:tc>
        <w:tc>
          <w:tcPr>
            <w:tcW w:type="dxa" w:w="2556"/>
          </w:tcPr>
          <w:p>
            <w:r>
              <w:t>Financial discipline gate</w:t>
            </w:r>
          </w:p>
        </w:tc>
      </w:tr>
    </w:tbl>
    <w:p/>
    <w:p>
      <w:pPr>
        <w:pStyle w:val="Heading1"/>
      </w:pPr>
      <w:r>
        <w:t>21. Validation Plan: 60-90 Day Pilot</w:t>
      </w:r>
    </w:p>
    <w:p>
      <w:r>
        <w:rPr>
          <w:b w:val="0"/>
        </w:rPr>
        <w:t>Section 14 calls for validation with existing clients but does not specify how. Below is a concrete plan to run before significant engineering investment.</w:t>
      </w:r>
    </w:p>
    <w:p>
      <w:r>
        <w:rPr>
          <w:b/>
        </w:rPr>
        <w:t>Pilot structure:</w:t>
      </w:r>
    </w:p>
    <w:p>
      <w:pPr>
        <w:pStyle w:val="ListBullet"/>
      </w:pPr>
      <w:r>
        <w:t>Recruit 5 existing Edstellar enterprise clients across 3 segments: IT services (India), BFSI (MEA), and manufacturing (APAC). 500-5,000 employee accounts.</w:t>
      </w:r>
    </w:p>
    <w:p>
      <w:pPr>
        <w:pStyle w:val="ListBullet"/>
      </w:pPr>
      <w:r>
        <w:t>Offer free 60-day pilot in exchange for structured feedback, a case study, and a paid renewal commitment if NPS exceeds 30.</w:t>
      </w:r>
    </w:p>
    <w:p>
      <w:pPr>
        <w:pStyle w:val="ListBullet"/>
      </w:pPr>
      <w:r>
        <w:t>Scope: post-training reinforcement for one program, one facilitated session, and one async monthly engagement campaign.</w:t>
      </w:r>
    </w:p>
    <w:p>
      <w:r>
        <w:rPr>
          <w:b/>
        </w:rPr>
        <w:t>Signals to watch:</w:t>
      </w:r>
    </w:p>
    <w:p>
      <w:pPr>
        <w:pStyle w:val="ListBullet"/>
      </w:pPr>
      <w:r>
        <w:t>Activation: do 60%+ of invited employees play at least one game in week 1?</w:t>
      </w:r>
    </w:p>
    <w:p>
      <w:pPr>
        <w:pStyle w:val="ListBullet"/>
      </w:pPr>
      <w:r>
        <w:t>Engagement depth: 3+ average sessions per active employee per month.</w:t>
      </w:r>
    </w:p>
    <w:p>
      <w:pPr>
        <w:pStyle w:val="ListBullet"/>
      </w:pPr>
      <w:r>
        <w:t>Buyer pull: do HR/L&amp;D leads ask unprompted about pricing, integrations, or expansion within 30 days?</w:t>
      </w:r>
    </w:p>
    <w:p>
      <w:pPr>
        <w:pStyle w:val="ListBullet"/>
      </w:pPr>
      <w:r>
        <w:t>Renewal intent: at day 60, what % verbally commit to a paid plan? Target 3 of 5.</w:t>
      </w:r>
    </w:p>
    <w:p>
      <w:pPr>
        <w:pStyle w:val="ListBullet"/>
      </w:pPr>
      <w:r>
        <w:t>Cross-sell signal: do training renewal conversations naturally include Engage? Target 2 of 5.</w:t>
      </w:r>
    </w:p>
    <w:p>
      <w:r>
        <w:rPr>
          <w:b/>
        </w:rPr>
        <w:t>Go / no-go decision criteria at day 90:</w:t>
      </w:r>
    </w:p>
    <w:p>
      <w:pPr>
        <w:pStyle w:val="ListBullet"/>
      </w:pPr>
      <w:r>
        <w:t>Go: 3+ paid renewals from the 5 pilots, NPS 30+, and at least 1 reference-quality testimonial.</w:t>
      </w:r>
    </w:p>
    <w:p>
      <w:pPr>
        <w:pStyle w:val="ListBullet"/>
      </w:pPr>
      <w:r>
        <w:t>Pivot: under 3 renewals but strong engagement on a specific use case (e.g., reinforcement only). Narrow product to that wedge.</w:t>
      </w:r>
    </w:p>
    <w:p>
      <w:pPr>
        <w:pStyle w:val="ListBullet"/>
      </w:pPr>
      <w:r>
        <w:t>No-go: under 2 renewals and NPS below 20. Shelve standalone product; retain reinforcement games as a free training add-on.</w:t>
      </w:r>
    </w:p>
    <w:p/>
    <w:p>
      <w:pPr>
        <w:pStyle w:val="Heading1"/>
      </w:pPr>
      <w:r>
        <w:t>22. Go-to-Market Motion</w:t>
      </w:r>
    </w:p>
    <w:p>
      <w:r>
        <w:rPr>
          <w:b w:val="0"/>
        </w:rPr>
        <w:t>The dominant motion should be a cross-sell through existing Edstellar account executives, not a new outbound team. A standalone GTM would require 12-18 months of brand building Edstellar Engage will not have on its own.</w:t>
      </w:r>
    </w:p>
    <w:tbl>
      <w:tblPr>
        <w:tblStyle w:val="LightGrid-Accent1"/>
        <w:tblW w:type="auto" w:w="0"/>
        <w:tblLook w:firstColumn="1" w:firstRow="1" w:lastColumn="0" w:lastRow="0" w:noHBand="0" w:noVBand="1" w:val="04A0"/>
      </w:tblPr>
      <w:tblGrid>
        <w:gridCol w:w="2556"/>
        <w:gridCol w:w="2556"/>
        <w:gridCol w:w="2556"/>
        <w:gridCol w:w="2556"/>
      </w:tblGrid>
      <w:tr>
        <w:tc>
          <w:tcPr>
            <w:tcW w:type="dxa" w:w="2556"/>
          </w:tcPr>
          <w:p>
            <w:r>
              <w:rPr>
                <w:b/>
              </w:rPr>
              <w:t>Motion</w:t>
            </w:r>
          </w:p>
        </w:tc>
        <w:tc>
          <w:tcPr>
            <w:tcW w:type="dxa" w:w="2556"/>
          </w:tcPr>
          <w:p>
            <w:r>
              <w:rPr>
                <w:b/>
              </w:rPr>
              <w:t>Owner</w:t>
            </w:r>
          </w:p>
        </w:tc>
        <w:tc>
          <w:tcPr>
            <w:tcW w:type="dxa" w:w="2556"/>
          </w:tcPr>
          <w:p>
            <w:r>
              <w:rPr>
                <w:b/>
              </w:rPr>
              <w:t>Target Segment</w:t>
            </w:r>
          </w:p>
        </w:tc>
        <w:tc>
          <w:tcPr>
            <w:tcW w:type="dxa" w:w="2556"/>
          </w:tcPr>
          <w:p>
            <w:r>
              <w:rPr>
                <w:b/>
              </w:rPr>
              <w:t>Year 1 Priority</w:t>
            </w:r>
          </w:p>
        </w:tc>
      </w:tr>
      <w:tr>
        <w:tc>
          <w:tcPr>
            <w:tcW w:type="dxa" w:w="2556"/>
          </w:tcPr>
          <w:p>
            <w:r>
              <w:t>Cross-sell to existing training clients</w:t>
            </w:r>
          </w:p>
        </w:tc>
        <w:tc>
          <w:tcPr>
            <w:tcW w:type="dxa" w:w="2556"/>
          </w:tcPr>
          <w:p>
            <w:r>
              <w:t>Existing Edstellar AEs and CSMs</w:t>
            </w:r>
          </w:p>
        </w:tc>
        <w:tc>
          <w:tcPr>
            <w:tcW w:type="dxa" w:w="2556"/>
          </w:tcPr>
          <w:p>
            <w:r>
              <w:t>Active Edstellar customers</w:t>
            </w:r>
          </w:p>
        </w:tc>
        <w:tc>
          <w:tcPr>
            <w:tcW w:type="dxa" w:w="2556"/>
          </w:tcPr>
          <w:p>
            <w:r>
              <w:t>Primary - 60-70% of pipeline</w:t>
            </w:r>
          </w:p>
        </w:tc>
      </w:tr>
      <w:tr>
        <w:tc>
          <w:tcPr>
            <w:tcW w:type="dxa" w:w="2556"/>
          </w:tcPr>
          <w:p>
            <w:r>
              <w:t>Inbound from engage.edstellar.com</w:t>
            </w:r>
          </w:p>
        </w:tc>
        <w:tc>
          <w:tcPr>
            <w:tcW w:type="dxa" w:w="2556"/>
          </w:tcPr>
          <w:p>
            <w:r>
              <w:t>Marketing with SDR follow-up</w:t>
            </w:r>
          </w:p>
        </w:tc>
        <w:tc>
          <w:tcPr>
            <w:tcW w:type="dxa" w:w="2556"/>
          </w:tcPr>
          <w:p>
            <w:r>
              <w:t>Mid-market HR buyers searching for engagement</w:t>
            </w:r>
          </w:p>
        </w:tc>
        <w:tc>
          <w:tcPr>
            <w:tcW w:type="dxa" w:w="2556"/>
          </w:tcPr>
          <w:p>
            <w:r>
              <w:t>Secondary - 20% of pipeline</w:t>
            </w:r>
          </w:p>
        </w:tc>
      </w:tr>
      <w:tr>
        <w:tc>
          <w:tcPr>
            <w:tcW w:type="dxa" w:w="2556"/>
          </w:tcPr>
          <w:p>
            <w:r>
              <w:t>Partner-led (HR consultancies, EAP vendors)</w:t>
            </w:r>
          </w:p>
        </w:tc>
        <w:tc>
          <w:tcPr>
            <w:tcW w:type="dxa" w:w="2556"/>
          </w:tcPr>
          <w:p>
            <w:r>
              <w:t>Partnerships lead (new or fractional)</w:t>
            </w:r>
          </w:p>
        </w:tc>
        <w:tc>
          <w:tcPr>
            <w:tcW w:type="dxa" w:w="2556"/>
          </w:tcPr>
          <w:p>
            <w:r>
              <w:t>White-labeled engagement programs</w:t>
            </w:r>
          </w:p>
        </w:tc>
        <w:tc>
          <w:tcPr>
            <w:tcW w:type="dxa" w:w="2556"/>
          </w:tcPr>
          <w:p>
            <w:r>
              <w:t>Exploratory - 10% of pipeline</w:t>
            </w:r>
          </w:p>
        </w:tc>
      </w:tr>
      <w:tr>
        <w:tc>
          <w:tcPr>
            <w:tcW w:type="dxa" w:w="2556"/>
          </w:tcPr>
          <w:p>
            <w:r>
              <w:t>Outbound to new logos</w:t>
            </w:r>
          </w:p>
        </w:tc>
        <w:tc>
          <w:tcPr>
            <w:tcW w:type="dxa" w:w="2556"/>
          </w:tcPr>
          <w:p>
            <w:r>
              <w:t>Deferred to Year 2</w:t>
            </w:r>
          </w:p>
        </w:tc>
        <w:tc>
          <w:tcPr>
            <w:tcW w:type="dxa" w:w="2556"/>
          </w:tcPr>
          <w:p>
            <w:r>
              <w:t>Net-new HR and L&amp;D buyers</w:t>
            </w:r>
          </w:p>
        </w:tc>
        <w:tc>
          <w:tcPr>
            <w:tcW w:type="dxa" w:w="2556"/>
          </w:tcPr>
          <w:p>
            <w:r>
              <w:t>Not in Year 1 - too expensive pre-PMF</w:t>
            </w:r>
          </w:p>
        </w:tc>
      </w:tr>
    </w:tbl>
    <w:p>
      <w:r>
        <w:rPr>
          <w:b/>
        </w:rPr>
        <w:t>Enablement requirements before launch:</w:t>
      </w:r>
    </w:p>
    <w:p>
      <w:pPr>
        <w:pStyle w:val="ListBullet"/>
      </w:pPr>
      <w:r>
        <w:t>AE playbook: discovery questions, qualification criteria, demo script, and a one-page leave-behind tying Engage to existing training accounts.</w:t>
      </w:r>
    </w:p>
    <w:p>
      <w:pPr>
        <w:pStyle w:val="ListBullet"/>
      </w:pPr>
      <w:r>
        <w:t>CSM playbook: how to introduce Engage in QBRs without distracting from training renewal.</w:t>
      </w:r>
    </w:p>
    <w:p>
      <w:pPr>
        <w:pStyle w:val="ListBullet"/>
      </w:pPr>
      <w:r>
        <w:t>Compensation: 8-10% spiff on Engage attached to a training deal. Lower than headline training commission but enough to drive behavior.</w:t>
      </w:r>
    </w:p>
    <w:p>
      <w:pPr>
        <w:pStyle w:val="ListBullet"/>
      </w:pPr>
      <w:r>
        <w:t>Internal case studies from the pilot before sales is asked to sell broadly.</w:t>
      </w:r>
    </w:p>
    <w:p/>
    <w:p>
      <w:pPr>
        <w:pStyle w:val="Heading1"/>
      </w:pPr>
      <w:r>
        <w:t>23. Updated Recommendation</w:t>
      </w:r>
    </w:p>
    <w:p>
      <w:r>
        <w:rPr>
          <w:b w:val="0"/>
        </w:rPr>
        <w:t>Proceed with Edstellar Engage as a cross-sell extension of the training business, not a standalone SaaS bet.</w:t>
      </w:r>
    </w:p>
    <w:p>
      <w:pPr>
        <w:pStyle w:val="ListBullet"/>
      </w:pPr>
      <w:r>
        <w:t>Run the 5-account pilot in section 21 before committing engineering beyond a whitelabel MVP.</w:t>
      </w:r>
    </w:p>
    <w:p>
      <w:pPr>
        <w:pStyle w:val="ListBullet"/>
      </w:pPr>
      <w:r>
        <w:t>Adopt the hybrid build approach in section 17. Whitelabel the engine; build admin, reporting, and training-catalog integration in-house.</w:t>
      </w:r>
    </w:p>
    <w:p>
      <w:pPr>
        <w:pStyle w:val="ListBullet"/>
      </w:pPr>
      <w:r>
        <w:t>Lead with the Training Add-on (section 16) and Facilitated Sessions (section 19) in Year 1. Least new engineering, highest leverage of existing Edstellar strengths.</w:t>
      </w:r>
    </w:p>
    <w:p>
      <w:pPr>
        <w:pStyle w:val="ListBullet"/>
      </w:pPr>
      <w:r>
        <w:t>Hold standalone SaaS plans live but de-emphasize them in GTM until the cross-sell motion is proven.</w:t>
      </w:r>
    </w:p>
    <w:p>
      <w:pPr>
        <w:pStyle w:val="ListBullet"/>
      </w:pPr>
      <w:r>
        <w:t>Revisit standalone GTM, outbound, and full in-house build at the 12-month review against the KPIs in section 20.</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B7280"/>
        <w:sz w:val="16"/>
      </w:rPr>
      <w:t>Confidential concept draft for internal strategic discussion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B7280"/>
        <w:sz w:val="16"/>
      </w:rPr>
      <w:t>Edstellar Engage | Concept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4B556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B3C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82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563E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B3C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Custom"/>
    <w:rPr>
      <w:rFonts w:ascii="Arial" w:hAnsi="Arial" w:eastAsia="Arial"/>
      <w:b w:val="0"/>
      <w:color w:val="4B5563"/>
      <w:sz w:val="22"/>
    </w:rPr>
  </w:style>
  <w:style w:type="paragraph" w:customStyle="1" w:styleId="SmallNote">
    <w:name w:val="SmallNote"/>
    <w:rPr>
      <w:rFonts w:ascii="Arial" w:hAnsi="Arial" w:eastAsia="Arial"/>
      <w:b w:val="0"/>
      <w:color w:val="6B7280"/>
      <w:sz w:val="16"/>
    </w:rPr>
  </w:style>
  <w:style w:type="paragraph" w:customStyle="1" w:styleId="TableHeader">
    <w:name w:val="TableHeader"/>
    <w:rPr>
      <w:rFonts w:ascii="Arial" w:hAnsi="Arial" w:eastAsia="Arial"/>
      <w:b/>
      <w:color w:val="FFFFFF"/>
      <w:sz w:val="17"/>
    </w:rPr>
  </w:style>
  <w:style w:type="paragraph" w:customStyle="1" w:styleId="BodyBold">
    <w:name w:val="BodyBold"/>
    <w:rPr>
      <w:rFonts w:ascii="Arial" w:hAnsi="Arial" w:eastAsia="Arial"/>
      <w:b/>
      <w:color w:val="111827"/>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Edstellar Engage Concept Document</dc:title>
  <dc:subject>Employee engagement games platform concept</dc:subject>
  <dc:creator>OpenAI</dc:creator>
  <cp:keywords/>
  <dc:description>Concept document generated for Edstellar planning.</dc:description>
  <cp:lastModifiedBy/>
  <cp:revision>1</cp:revision>
  <dcterms:created xsi:type="dcterms:W3CDTF">2013-12-23T23:15:00Z</dcterms:created>
  <dcterms:modified xsi:type="dcterms:W3CDTF">2013-12-23T23:15:00Z</dcterms:modified>
  <cp:category/>
</cp:coreProperties>
</file>