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TaleFin response review</w:t>
      </w:r>
    </w:p>
    <w:p>
      <w:pPr>
        <w:spacing w:after="140"/>
      </w:pPr>
      <w:r>
        <w:t xml:space="preserve">Source: a real TaleFin bank statement response supplied by Layton on 30/09/2026 (</w:t>
      </w:r>
      <w:r>
        <w:rPr>
          <w:rFonts w:ascii="Consolas" w:cs="Consolas" w:eastAsia="Consolas" w:hAnsi="Consolas"/>
          <w:sz w:val="18"/>
          <w:szCs w:val="18"/>
        </w:rPr>
        <w:t xml:space="preserve">type: "summary"</w:t>
      </w:r>
      <w:r>
        <w:t xml:space="preserve">, 90 days, four CBA accounts, 139 metrics). </w:t>
      </w:r>
      <w:r>
        <w:rPr>
          <w:b/>
          <w:bCs/>
        </w:rPr>
        <w:t xml:space="preserve">It contains a real person's details and is not stored in this repo.</w:t>
      </w:r>
      <w:r>
        <w:t xml:space="preserve"> Only its structure, metric names and category ids were used. They are in </w:t>
      </w:r>
      <w:r>
        <w:rPr>
          <w:rFonts w:ascii="Consolas" w:cs="Consolas" w:eastAsia="Consolas" w:hAnsi="Consolas"/>
          <w:sz w:val="18"/>
          <w:szCs w:val="18"/>
        </w:rPr>
        <w:t xml:space="preserve">scripts/talefin_catalogue.json</w:t>
      </w:r>
      <w:r>
        <w:t xml:space="preserve">.</w:t>
      </w:r>
    </w:p>
    <w:p>
      <w:pPr>
        <w:pStyle w:val="Heading1"/>
      </w:pPr>
      <w:r>
        <w:t xml:space="preserve">The five things that change the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summary response has no transaction list.</w:t>
      </w:r>
      <w:r>
        <w:t xml:space="preserve"> Each account says how many transactions it has (</w:t>
      </w:r>
      <w:r>
        <w:rPr>
          <w:rFonts w:ascii="Consolas" w:cs="Consolas" w:eastAsia="Consolas" w:hAnsi="Consolas"/>
          <w:sz w:val="18"/>
          <w:szCs w:val="18"/>
        </w:rPr>
        <w:t xml:space="preserve">transactions_num</w:t>
      </w:r>
      <w:r>
        <w:t xml:space="preserve">), but none are included. Everything in the portal that works at transaction level needs TaleFin's transaction-level data (Q18):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per-pay-cycle category totals, merchants and recategorising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the transaction feed and search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splitting two loans of the same type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naming the lender in "a payment didn't go through"</w:t>
      </w:r>
    </w:p>
    <w:p>
      <w:pPr>
        <w:spacing w:after="80"/>
        <w:ind w:left="720"/>
      </w:pPr>
      <w:r>
        <w:t xml:space="preserve">The build keeps </w:t>
      </w:r>
      <w:r>
        <w:rPr>
          <w:rFonts w:ascii="Consolas" w:cs="Consolas" w:eastAsia="Consolas" w:hAnsi="Consolas"/>
          <w:sz w:val="18"/>
          <w:szCs w:val="18"/>
        </w:rPr>
        <w:t xml:space="preserve">transactions.json</w:t>
      </w:r>
      <w:r>
        <w:t xml:space="preserve"> as the stand-in for that feed. Where the summary alone is enough, a </w:t>
      </w:r>
      <w:r>
        <w:rPr>
          <w:rFonts w:ascii="Consolas" w:cs="Consolas" w:eastAsia="Consolas" w:hAnsi="Consolas"/>
          <w:sz w:val="18"/>
          <w:szCs w:val="18"/>
        </w:rPr>
        <w:t xml:space="preserve">…FromSummary</w:t>
      </w:r>
      <w:r>
        <w:t xml:space="preserve"> selector exists as well.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Transfers between the customer's own accounts swamp everything.</w:t>
      </w:r>
      <w:r>
        <w:t xml:space="preserve"> The sample had $48,703 of debits (AM2004) in 90 days against $13,981 of income, because most of it was money moving between the person's four accounts. AM2047 (credits from internal transfers) was $25,351. Any "spent", "paid in" or six-month figure taken straight from AM2003/AM2004 would be wrong. The build now: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excludes a </w:t>
      </w:r>
      <w:r>
        <w:rPr>
          <w:rFonts w:ascii="Consolas" w:cs="Consolas" w:eastAsia="Consolas" w:hAnsi="Consolas"/>
          <w:sz w:val="18"/>
          <w:szCs w:val="18"/>
        </w:rPr>
        <w:t xml:space="preserve">transfer</w:t>
      </w:r>
      <w:r>
        <w:t xml:space="preserve"> category from every total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subtracts AM2047 from AM2004 for the six-month bars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standard pull is 90 days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report_period.days_requested: 90</w:t>
      </w:r>
      <w:r>
        <w:t xml:space="preserve">). The months before that come back as zero with a null count. The six-month chart in the designs would show three real bars. Ask TaleFin for 180 days, or design the chart for three months (Q17).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"active provider" lists are usually empty.</w:t>
      </w:r>
      <w:r>
        <w:t xml:space="preserve"> AM2117, AM2120 and AM2123 only list a lender whose </w:t>
      </w:r>
      <w:r>
        <w:rPr>
          <w:i/>
          <w:iCs/>
        </w:rPr>
        <w:t xml:space="preserve">latest</w:t>
      </w:r>
      <w:r>
        <w:t xml:space="preserve"> transaction is a loan deposit. The sample had 1 small loan and 1 medium loan open, but all three lists were empty. Lender names come reliably from: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AM2049 (small-loan status)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AM2105–AM2107 (defaults)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AM2125–AM2127 (past due)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AM2030 (third parties)</w:t>
      </w:r>
    </w:p>
    <w:p>
      <w:pPr>
        <w:spacing w:after="80"/>
        <w:ind w:left="720"/>
      </w:pPr>
      <w:r>
        <w:t xml:space="preserve">Those lists are </w:t>
      </w:r>
      <w:r>
        <w:rPr>
          <w:rFonts w:ascii="Consolas" w:cs="Consolas" w:eastAsia="Consolas" w:hAnsi="Consolas"/>
          <w:sz w:val="18"/>
          <w:szCs w:val="18"/>
        </w:rPr>
        <w:t xml:space="preserve">LENDER_ONLY</w:t>
      </w:r>
      <w:r>
        <w:t xml:space="preserve"> because of what they say (defaults, arrears), so the API layer now takes the </w:t>
      </w:r>
      <w:r>
        <w:rPr>
          <w:b/>
          <w:bCs/>
        </w:rPr>
        <w:t xml:space="preserve">names only</w:t>
      </w:r>
      <w:r>
        <w:t xml:space="preserve"> and strips the rest.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response carries full identity details: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holder name, email and mobile (profile and </w:t>
      </w:r>
      <w:r>
        <w:rPr>
          <w:rFonts w:ascii="Consolas" w:cs="Consolas" w:eastAsia="Consolas" w:hAnsi="Consolas"/>
          <w:sz w:val="18"/>
          <w:szCs w:val="18"/>
        </w:rPr>
        <w:t xml:space="preserve">application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joint owners and home address (</w:t>
      </w:r>
      <w:r>
        <w:rPr>
          <w:rFonts w:ascii="Consolas" w:cs="Consolas" w:eastAsia="Consolas" w:hAnsi="Consolas"/>
          <w:sz w:val="18"/>
          <w:szCs w:val="18"/>
        </w:rPr>
        <w:t xml:space="preserve">account_owner_info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DOB and gender fields (</w:t>
      </w:r>
      <w:r>
        <w:rPr>
          <w:rFonts w:ascii="Consolas" w:cs="Consolas" w:eastAsia="Consolas" w:hAnsi="Consolas"/>
          <w:sz w:val="18"/>
          <w:szCs w:val="18"/>
        </w:rPr>
        <w:t xml:space="preserve">account_json</w:t>
      </w:r>
      <w:r>
        <w:t xml:space="preserve">)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bank login field definitions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b/>
          <w:bCs/>
        </w:rPr>
        <w:t xml:space="preserve">the full, unmasked BSB and account number</w:t>
      </w:r>
    </w:p>
    <w:p>
      <w:pPr>
        <w:spacing w:after="80"/>
        <w:ind w:left="720"/>
      </w:pPr>
      <w:r>
        <w:rPr>
          <w:rFonts w:ascii="Consolas" w:cs="Consolas" w:eastAsia="Consolas" w:hAnsi="Consolas"/>
          <w:sz w:val="18"/>
          <w:szCs w:val="18"/>
        </w:rPr>
        <w:t xml:space="preserve">src/lib/api/talefin.ts</w:t>
      </w:r>
      <w:r>
        <w:t xml:space="preserve"> now drops all of it at the boundary and keeps only the account nickname and last 4 digits. A test proves it.</w:t>
      </w:r>
    </w:p>
    <w:p>
      <w:pPr>
        <w:pStyle w:val="Heading1"/>
      </w:pPr>
      <w:r>
        <w:t xml:space="preserve">Answers to the questions raised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8"/>
        <w:gridCol w:w="8770"/>
      </w:tblGrid>
      <w:tr>
        <w:trPr>
          <w:tblHeader/>
        </w:trPr>
        <w:tc>
          <w:tcPr>
            <w:tcW w:type="dxa" w:w="868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dxa" w:w="877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</w:tr>
      <w:tr>
        <w:trPr>
          <w:tblHeader w:val="off"/>
        </w:trPr>
        <w:tc>
          <w:tcPr>
            <w:tcW w:type="dxa" w:w="868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 we show the amount debited by a lender?</w:t>
            </w:r>
          </w:p>
        </w:tc>
        <w:tc>
          <w:tcPr>
            <w:tcW w:type="dxa" w:w="877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Yes.</w:t>
            </w:r>
            <w:r>
              <w:rPr>
                <w:sz w:val="18"/>
                <w:szCs w:val="18"/>
              </w:rPr>
              <w:t xml:space="preserve"> From the summary alone, by loan type: small loans AM2044, medium loans AM2045, other credit AM2046, pay advances AM2139 and AM2087, BNPL AM2080, and all loans AM2081. Each has the 90-day total, count, first and last date, and monthly values. When a type has one lender (true for the sample: one small loan, one medium loan), that figure </w:t>
            </w:r>
            <w:r>
              <w:rPr>
                <w:i/>
                <w:iCs/>
                <w:sz w:val="18"/>
                <w:szCs w:val="18"/>
              </w:rPr>
              <w:t xml:space="preserve">is</w:t>
            </w:r>
            <w:r>
              <w:rPr>
                <w:sz w:val="18"/>
                <w:szCs w:val="18"/>
              </w:rPr>
              <w:t xml:space="preserve"> that lender's. With two lenders of the same type (Jess: Nimble and Cash Train), a per-lender split needs the transaction feed. Built: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activeLoans()[].activity</w:t>
            </w:r>
            <w:r>
              <w:rPr>
                <w:sz w:val="18"/>
                <w:szCs w:val="18"/>
              </w:rPr>
              <w:t xml:space="preserve"> (per lender, from transactions),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lenderActivityFromSummary()</w:t>
            </w:r>
            <w:r>
              <w:rPr>
                <w:sz w:val="18"/>
                <w:szCs w:val="18"/>
              </w:rPr>
              <w:t xml:space="preserve"> (exact only when unambiguous, otherwise null)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loanTotals().repaid90</w:t>
            </w:r>
            <w:r>
              <w:rPr>
                <w:sz w:val="18"/>
                <w:szCs w:val="18"/>
              </w:rPr>
              <w:t xml:space="preserve"> (by type). Copy: "Repaid to Nimble in the last 90 days: $576 (6 repayments)".</w:t>
            </w:r>
          </w:p>
        </w:tc>
      </w:tr>
      <w:tr>
        <w:trPr>
          <w:tblHeader w:val="off"/>
        </w:trPr>
        <w:tc>
          <w:tcPr>
            <w:tcW w:type="dxa" w:w="868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Loan balances</w:t>
            </w:r>
          </w:p>
        </w:tc>
        <w:tc>
          <w:tcPr>
            <w:tcW w:type="dxa" w:w="877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TaleFin's "outstanding balance" (AM2024) is defined as </w:t>
            </w:r>
            <w:r>
              <w:rPr>
                <w:i/>
                <w:iCs/>
                <w:sz w:val="18"/>
                <w:szCs w:val="18"/>
              </w:rPr>
              <w:t xml:space="preserve">the latest loan deposit minus repayments since, excluding dishonoured ones</w:t>
            </w:r>
            <w:r>
              <w:rPr>
                <w:sz w:val="18"/>
                <w:szCs w:val="18"/>
              </w:rPr>
              <w:t xml:space="preserve">. It ignores fees and interest, so it is closer to "how much of the last loan has been paid back" than a balance. Suggest the loan card says what's known: </w:t>
            </w:r>
            <w:r>
              <w:rPr>
                <w:sz w:val="18"/>
                <w:szCs w:val="18"/>
              </w:rPr>
              <w:t xml:space="preserve">"Borrowed $300 on 24/09 · $56.57 repaid so far"</w:t>
            </w:r>
            <w:r>
              <w:rPr>
                <w:sz w:val="18"/>
                <w:szCs w:val="18"/>
              </w:rPr>
              <w:t xml:space="preserve"> (AM2040 + AM2044), with "estimated" kept on any balance.</w:t>
            </w:r>
          </w:p>
        </w:tc>
      </w:tr>
      <w:tr>
        <w:trPr>
          <w:tblHeader w:val="off"/>
        </w:trPr>
        <w:tc>
          <w:tcPr>
            <w:tcW w:type="dxa" w:w="868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Timezone</w:t>
            </w:r>
          </w:p>
        </w:tc>
        <w:tc>
          <w:tcPr>
            <w:tcW w:type="dxa" w:w="877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Decided: </w:t>
            </w:r>
            <w:r>
              <w:rPr>
                <w:sz w:val="18"/>
                <w:szCs w:val="18"/>
              </w:rPr>
              <w:t xml:space="preserve">AEST</w:t>
            </w:r>
            <w:r>
              <w:rPr>
                <w:sz w:val="18"/>
                <w:szCs w:val="18"/>
              </w:rPr>
              <w:t xml:space="preserve">. TaleFin timestamps carry their own offset (+10:00, and +11:00 in daylight saving; the sample's next-pay date was +11:00).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toAEST()</w:t>
            </w:r>
            <w:r>
              <w:rPr>
                <w:sz w:val="18"/>
                <w:szCs w:val="18"/>
              </w:rPr>
              <w:t xml:space="preserve"> converts every one; the Score's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SCORED_DATETIME</w:t>
            </w:r>
            <w:r>
              <w:rPr>
                <w:sz w:val="18"/>
                <w:szCs w:val="18"/>
              </w:rPr>
              <w:t xml:space="preserve"> has no offset and is taken as AEST. In summer this shows NSW/VIC/TAS/ACT customers a time one hour behind their clock, and dates near midnight can shift. Revisit with per-state time (Q19).</w:t>
            </w:r>
          </w:p>
        </w:tc>
      </w:tr>
      <w:tr>
        <w:trPr>
          <w:tblHeader w:val="off"/>
        </w:trPr>
        <w:tc>
          <w:tcPr>
            <w:tcW w:type="dxa" w:w="868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 we show when all incomes come in?</w:t>
            </w:r>
          </w:p>
        </w:tc>
        <w:tc>
          <w:tcPr>
            <w:tcW w:type="dxa" w:w="877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Yes.</w:t>
            </w:r>
            <w:r>
              <w:rPr>
                <w:sz w:val="18"/>
                <w:szCs w:val="18"/>
              </w:rPr>
              <w:t xml:space="preserve"> TaleFin gives a next date only for the primary income (AM2037 any income, AM2077 wages). Every income metric also has a count and first/last dates, so the cadence and next date can be estimated for each type: wages AM2001, Centrelink AM2002, WorkCover AM2197, and monthly means for 10 income categories in AM2152. Built: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incomeStreams()</w:t>
            </w:r>
            <w:r>
              <w:rPr>
                <w:sz w:val="18"/>
                <w:szCs w:val="18"/>
              </w:rPr>
              <w:t xml:space="preserve"> (from transactions, one stream per payer) and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incomeStreamsFromSummary()</w:t>
            </w:r>
            <w:r>
              <w:rPr>
                <w:sz w:val="18"/>
                <w:szCs w:val="18"/>
              </w:rPr>
              <w:t xml:space="preserve"> (from metrics alone). Both agree on every persona.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upcomingIncome()</w:t>
            </w:r>
            <w:r>
              <w:rPr>
                <w:sz w:val="18"/>
                <w:szCs w:val="18"/>
              </w:rPr>
              <w:t xml:space="preserve"> feeds the pay cycle card, the calendar (predicted income days) and the balance forecast, which can now run past payday. Marcus: "Centrelink $412 · Wed 07/10" and "Southside Logistics about $1,350 · Thu 08/10". Fixed amounts (Centrelink) show exactly; varying pay shows "about".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Format quirks the mock now copies (and the normaliser handles)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2"/>
        <w:gridCol w:w="4259"/>
        <w:gridCol w:w="4507"/>
      </w:tblGrid>
      <w:tr>
        <w:trPr>
          <w:tblHeader/>
        </w:trPr>
        <w:tc>
          <w:tcPr>
            <w:tcW w:type="dxa" w:w="872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Quirk</w:t>
            </w:r>
          </w:p>
        </w:tc>
        <w:tc>
          <w:tcPr>
            <w:tcW w:type="dxa" w:w="4259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Production</w:t>
            </w:r>
          </w:p>
        </w:tc>
        <w:tc>
          <w:tcPr>
            <w:tcW w:type="dxa" w:w="4507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Handling</w:t>
            </w:r>
          </w:p>
        </w:tc>
      </w:tr>
      <w:tr>
        <w:trPr>
          <w:tblHeader w:val="off"/>
        </w:trPr>
        <w:tc>
          <w:tcPr>
            <w:tcW w:type="dxa" w:w="872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Timestamps</w:t>
            </w:r>
          </w:p>
        </w:tc>
        <w:tc>
          <w:tcPr>
            <w:tcW w:type="dxa" w:w="4259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2026-07-09T09:43:48+10:00</w:t>
            </w:r>
          </w:p>
        </w:tc>
        <w:tc>
          <w:tcPr>
            <w:tcW w:type="dxa" w:w="4507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AEST calendar date</w:t>
            </w:r>
          </w:p>
        </w:tc>
      </w:tr>
      <w:tr>
        <w:trPr>
          <w:tblHeader w:val="off"/>
        </w:trPr>
        <w:tc>
          <w:tcPr>
            <w:tcW w:type="dxa" w:w="872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Monthly values</w:t>
            </w:r>
          </w:p>
        </w:tc>
        <w:tc>
          <w:tcPr>
            <w:tcW w:type="dxa" w:w="4259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 "month": "September", "year": 2026, … }</w:t>
            </w:r>
            <w:r>
              <w:rPr>
                <w:sz w:val="18"/>
                <w:szCs w:val="18"/>
              </w:rPr>
              <w:t xml:space="preserve">, 12 months</w:t>
            </w:r>
          </w:p>
        </w:tc>
        <w:tc>
          <w:tcPr>
            <w:tcW w:type="dxa" w:w="4507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"2026-09"</w:t>
            </w:r>
          </w:p>
        </w:tc>
      </w:tr>
      <w:tr>
        <w:trPr>
          <w:tblHeader w:val="off"/>
        </w:trPr>
        <w:tc>
          <w:tcPr>
            <w:tcW w:type="dxa" w:w="872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Empty periods</w:t>
            </w:r>
          </w:p>
        </w:tc>
        <w:tc>
          <w:tcPr>
            <w:tcW w:type="dxa" w:w="4259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every field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null</w:t>
            </w:r>
            <w:r>
              <w:rPr>
                <w:sz w:val="18"/>
                <w:szCs w:val="18"/>
              </w:rPr>
              <w:t xml:space="preserve"> (sum and count)</w:t>
            </w:r>
          </w:p>
        </w:tc>
        <w:tc>
          <w:tcPr>
            <w:tcW w:type="dxa" w:w="4507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0; months before the history starts are drawn as "no data", never $0</w:t>
            </w:r>
          </w:p>
        </w:tc>
      </w:tr>
      <w:tr>
        <w:trPr>
          <w:tblHeader w:val="off"/>
        </w:trPr>
        <w:tc>
          <w:tcPr>
            <w:tcW w:type="dxa" w:w="872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Balances</w:t>
            </w:r>
          </w:p>
        </w:tc>
        <w:tc>
          <w:tcPr>
            <w:tcW w:type="dxa" w:w="4259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strings: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"-63.6200"</w:t>
            </w:r>
          </w:p>
        </w:tc>
        <w:tc>
          <w:tcPr>
            <w:tcW w:type="dxa" w:w="4507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→ numbers</w:t>
            </w:r>
          </w:p>
        </w:tc>
      </w:tr>
      <w:tr>
        <w:trPr>
          <w:tblHeader w:val="off"/>
        </w:trPr>
        <w:tc>
          <w:tcPr>
            <w:tcW w:type="dxa" w:w="872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Debit min/max</w:t>
            </w:r>
          </w:p>
        </w:tc>
        <w:tc>
          <w:tcPr>
            <w:tcW w:type="dxa" w:w="4259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 arrive swapped (min 859.48, max 414.86)</w:t>
            </w:r>
          </w:p>
        </w:tc>
        <w:tc>
          <w:tcPr>
            <w:tcW w:type="dxa" w:w="4507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swapped back</w:t>
            </w:r>
          </w:p>
        </w:tc>
      </w:tr>
      <w:tr>
        <w:trPr>
          <w:tblHeader w:val="off"/>
        </w:trPr>
        <w:tc>
          <w:tcPr>
            <w:tcW w:type="dxa" w:w="872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Monthly means</w:t>
            </w:r>
          </w:p>
        </w:tc>
        <w:tc>
          <w:tcPr>
            <w:tcW w:type="dxa" w:w="4259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sum ÷ (period ÷ 30)</w:t>
            </w:r>
            <w:r>
              <w:rPr>
                <w:sz w:val="18"/>
                <w:szCs w:val="18"/>
              </w:rPr>
              <w:t xml:space="preserve"> whatever the history, so 45 days of data over a 90-day window reads as </w:t>
            </w:r>
            <w:r>
              <w:rPr>
                <w:sz w:val="18"/>
                <w:szCs w:val="18"/>
              </w:rPr>
              <w:t xml:space="preserve">half</w:t>
            </w:r>
          </w:p>
        </w:tc>
        <w:tc>
          <w:tcPr>
            <w:tcW w:type="dxa" w:w="4507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monthlyIncome()</w:t>
            </w:r>
            <w:r>
              <w:rPr>
                <w:sz w:val="18"/>
                <w:szCs w:val="18"/>
              </w:rPr>
              <w:t xml:space="preserve"> rescales by the days actually covered (AM2035)</w:t>
            </w:r>
          </w:p>
        </w:tc>
      </w:tr>
      <w:tr>
        <w:trPr>
          <w:tblHeader w:val="off"/>
        </w:trPr>
        <w:tc>
          <w:tcPr>
            <w:tcW w:type="dxa" w:w="872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Flags</w:t>
            </w:r>
          </w:p>
        </w:tc>
        <w:tc>
          <w:tcPr>
            <w:tcW w:type="dxa" w:w="4259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per-period objects with monthly values, not plain booleans</w:t>
            </w:r>
          </w:p>
        </w:tc>
        <w:tc>
          <w:tcPr>
            <w:tcW w:type="dxa" w:w="4507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read as objects</w:t>
            </w:r>
          </w:p>
        </w:tc>
      </w:tr>
      <w:tr>
        <w:trPr>
          <w:tblHeader w:val="off"/>
        </w:trPr>
        <w:tc>
          <w:tcPr>
            <w:tcW w:type="dxa" w:w="872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Extras</w:t>
            </w:r>
          </w:p>
        </w:tc>
        <w:tc>
          <w:tcPr>
            <w:tcW w:type="dxa" w:w="4259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trimmed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trimmed_monthly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date_range_in_days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friendly_name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description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group_colour_rgba</w:t>
            </w:r>
          </w:p>
        </w:tc>
        <w:tc>
          <w:tcPr>
            <w:tcW w:type="dxa" w:w="4507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trimmed means are available for steadier "typical" figures; TaleFin's group colours are ignored (tokens only)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Useful data we weren't using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4"/>
        <w:gridCol w:w="5320"/>
        <w:gridCol w:w="1671"/>
        <w:gridCol w:w="1553"/>
      </w:tblGrid>
      <w:tr>
        <w:trPr>
          <w:tblHeader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AM2037 / AM2077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Next expected income (any) / wages, primary account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Payday, days to payday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AM2035 / AM2036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Oldest transaction, all accounts / primary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"Based on 45 days"; the thin-file date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AM2152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Income categories (Wages 36, Centrelink 45, Income 40, Other Credit 3, Benefits 32, Child Support 59, Work Cover 46, Superannuation 47, Emergency Payment 60, Cash Deposits 34)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SHOW, some labels sensitive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income streams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AM2197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WorkCover income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as "Other regular income" (Q16)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Income streams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AM2040 / 41 / 42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Loan deposits received, by type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"Borrowed $300 on 24/09"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AM2044 / 45 / 46, AM2078 / 79 / 81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Loan repayments and direct debits, by type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Repaid per lender or type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AM2138 / AM2139 / AM2087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 advances received and repaid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Pay-advance cycle insight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AM2116 / 2119 / 2122 / 2157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Confirmed active repayments (monthly)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Loan totals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AM2049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Small-loan status per lender: active, settled, arrears, failed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Names + active/settled SHOW; arrears/failed LENDER_ONLY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"Paid off" as a fact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AM2030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Third-party (pay advance) providers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 pay-advance providers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AM2029 / 2058 / 2059 / 2084 / 2088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Dishonours by type, with amounts and dates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as facts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"A $96 repayment didn't go through on 09/09"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AM2067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 debits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Pending state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AM2068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Estimated overdraft limit per account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separately; never fold into "left after bills"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AM2164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Primary wage, with opening/closing balance around each pay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"Your balance just before payday"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AM2161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Balance stats incl. trimmed mean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Lowest balance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CM2001–CM2139 (per account, 17 each)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Per-account debits, credits, daily balance, overdrawn days, dishonours, overdraft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 / INTERNAL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Multi-account filter; which account went below $0</w:t>
            </w:r>
          </w:p>
        </w:tc>
      </w:tr>
      <w:tr>
        <w:trPr>
          <w:tblHeader w:val="off"/>
        </w:trPr>
        <w:tc>
          <w:tcPr>
            <w:tcW w:type="dxa" w:w="1094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AM2151</w:t>
            </w:r>
          </w:p>
        </w:tc>
        <w:tc>
          <w:tcPr>
            <w:tcW w:type="dxa" w:w="5320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56 debit categories incl. parents (Debit 2, Fixed 5, Variable 6, Risk 4, Loans 8, Other Debit 140)</w:t>
            </w:r>
          </w:p>
        </w:tc>
        <w:tc>
          <w:tcPr>
            <w:tcW w:type="dxa" w:w="167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SHOW</w:t>
            </w:r>
          </w:p>
        </w:tc>
        <w:tc>
          <w:tcPr>
            <w:tcW w:type="dxa" w:w="155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Category mapping (below)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Categories (Q12, mostly answered)</w:t>
      </w:r>
    </w:p>
    <w:p>
      <w:pPr>
        <w:spacing w:after="140"/>
      </w:pPr>
      <w:r>
        <w:t xml:space="preserve">The real AM2151 ids replace the placeholders in the generator. The old "35 = rent" was wrong: </w:t>
      </w:r>
      <w:r>
        <w:rPr>
          <w:b/>
          <w:bCs/>
        </w:rPr>
        <w:t xml:space="preserve">35 is Accommodation; Rent is 9.</w:t>
      </w:r>
      <w:r>
        <w:t xml:space="preserve"> Tippla's mapping: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8433"/>
      </w:tblGrid>
      <w:tr>
        <w:trPr>
          <w:tblHeader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Tippla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TaleFin ids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Rent &amp; housing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Rent, 35 Accommodation (+ AM2136 mortgage)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Groceries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Food &amp; dining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22 Eating Place (67 Drinking Place → Alcohol)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Transport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 Transport, 27 Fuel, 25 Public Transport, 24 Taxi, 44 Road Tolls, 28 Vehicle Maintenance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Bills &amp; utilities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Utilities, 16 Telecommunications, 17 Energy/Gas, 10 Insurance, 18 Council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Subscriptions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37 Subscription Services, 56 Memberships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Entertainment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58 Leisure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Alcohol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23 Alcohol, 67 Drinking Place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Gambling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Health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52 Medical, 53 Pharmacy, 64 Personal Care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Shopping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13 Retail, 62 Clothing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Loan repayments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19 SACC Loans, 20 Non SACC Loans (8 Loans is their parent)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Buy now, pay later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69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 advances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71 Wage Advance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Cash withdrawals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70 ATM Withdrawals, 33 Withdrawal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Bank fees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29 Fees, 50 Dishonour Fees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Other (to design)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57 Childcare, 66 Education, 65 Pet Care, 26 Airlines, 68 Charitable Donations, 72 Cryptocurrency, 63 Money Transfer, 54 Tax Collection, 55 Court Fines, 61 Centrelink Repayment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Never shown as a category</w:t>
            </w:r>
          </w:p>
        </w:tc>
        <w:tc>
          <w:tcPr>
            <w:tcW w:type="dxa" w:w="8433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31 Debt Collection, 38 Debt Management, 49 Budget Management (sensitive; fold into "Other")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In the sample, "Other Debit" (140) was $12,428 of $14,752 a month. Much of that is transfers, but ask TaleFin how much real spending ends up uncategorised. A donut that's mostly "Other" would undo the Spending screen.</w:t>
      </w:r>
    </w:p>
    <w:p>
      <w:pPr>
        <w:pStyle w:val="Heading1"/>
      </w:pPr>
      <w:r>
        <w:t xml:space="preserve">New sensitive fields (all </w:t>
      </w:r>
      <w:r>
        <w:rPr>
          <w:rFonts w:ascii="Consolas" w:cs="Consolas" w:eastAsia="Consolas" w:hAnsi="Consolas"/>
          <w:sz w:val="18"/>
          <w:szCs w:val="18"/>
        </w:rPr>
        <w:t xml:space="preserve">NEVER_DISPLAY</w:t>
      </w:r>
      <w:r>
        <w:t xml:space="preserve"> until counsel says otherwise, Q11)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AM2006 Centrelink emergency (advance) payments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AM2009 debt collection payments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AM2065 financial counsellor payments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AM2095 Public Trustee payments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AM2070 superannuation present (can mean early release on hardship grounds)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Income categories that imply circumstances: Child Support (59) implies dependants, WorkCover (46) implies an injury. Show the money as "Other regular income", never the label (Q16).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Everything in </w:t>
      </w:r>
      <w:r>
        <w:rPr>
          <w:rFonts w:ascii="Consolas" w:cs="Consolas" w:eastAsia="Consolas" w:hAnsi="Consolas"/>
          <w:sz w:val="18"/>
          <w:szCs w:val="18"/>
        </w:rPr>
        <w:t xml:space="preserve">account_json</w:t>
      </w:r>
      <w:r>
        <w:t xml:space="preserve"> and </w:t>
      </w:r>
      <w:r>
        <w:rPr>
          <w:rFonts w:ascii="Consolas" w:cs="Consolas" w:eastAsia="Consolas" w:hAnsi="Consolas"/>
          <w:sz w:val="18"/>
          <w:szCs w:val="18"/>
        </w:rPr>
        <w:t xml:space="preserve">account_owner_info</w:t>
      </w:r>
      <w:r>
        <w:t xml:space="preserve">.</w:t>
      </w:r>
    </w:p>
    <w:p>
      <w:pPr>
        <w:pStyle w:val="Heading1"/>
      </w:pPr>
      <w:r>
        <w:t xml:space="preserve">What changed in the build (this commit)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Mock now matches production: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scripts/generate_mock_data.py</w:t>
      </w:r>
      <w:r>
        <w:t xml:space="preserve"> emits the real shape. That covers: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real metric names, offsets, month names and string balances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full fictional BSB and account numbers, plus holder details, so the stripping is tested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empty "active provider" lists, with lender names in the status and default lists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loan-by-type metrics, income categories and the real category ids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Normaliser: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src/lib/api/talefin.ts</w:t>
      </w:r>
      <w:r>
        <w:t xml:space="preserve"> turns TaleFin's raw format into the portal's shape. The client then strips anything by data-use class.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Selectors: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incomeStreams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incomeStreamsFromSummary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upcomingIncome</w:t>
      </w:r>
      <w:r>
        <w:t xml:space="preserve"> — when each income comes in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activeLoans()[].activity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lenderActivityFromSummary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loanTotals().repaid90</w:t>
      </w:r>
      <w:r>
        <w:t xml:space="preserve"> — what each lender debited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isTransfer</w:t>
      </w:r>
      <w:r>
        <w:t xml:space="preserve"> exclusion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monthlyIncome</w:t>
      </w:r>
      <w:r>
        <w:t xml:space="preserve"> rescaled for thin files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six-month bars net of own-account transfers</w:t>
      </w:r>
    </w:p>
    <w:p>
      <w:pPr>
        <w:pStyle w:val="ListParagraph"/>
        <w:numPr>
          <w:ilvl w:val="1"/>
          <w:numId w:val="3"/>
        </w:numPr>
        <w:spacing w:after="60"/>
      </w:pPr>
      <w:r>
        <w:t xml:space="preserve">calendar and forecast now include expected income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Data-use classes:</w:t>
      </w:r>
      <w:r>
        <w:t xml:space="preserve"> every code seen in the production response now has a class (fail-closed for anything else).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Tests: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tests/talefin.test.ts</w:t>
      </w:r>
      <w:r>
        <w:t xml:space="preserve"> (normaliser, AEST, masking, lender names) and </w:t>
      </w:r>
      <w:r>
        <w:rPr>
          <w:rFonts w:ascii="Consolas" w:cs="Consolas" w:eastAsia="Consolas" w:hAnsi="Consolas"/>
          <w:sz w:val="18"/>
          <w:szCs w:val="18"/>
        </w:rPr>
        <w:t xml:space="preserve">tests/income.test.ts</w:t>
      </w:r>
      <w:r>
        <w:t xml:space="preserve"> (income schedule, lender debits, transfers, thin-file income).</w:t>
      </w:r>
    </w:p>
    <w:p>
      <w:pPr>
        <w:pStyle w:val="Heading1"/>
      </w:pPr>
      <w:r>
        <w:t xml:space="preserve">Asks for TaleFin — answered 30/09/2026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"/>
        <w:gridCol w:w="826"/>
        <w:gridCol w:w="1305"/>
        <w:gridCol w:w="6681"/>
      </w:tblGrid>
      <w:tr>
        <w:trPr>
          <w:tblHeader/>
        </w:trPr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Ask</w:t>
            </w:r>
          </w:p>
        </w:tc>
        <w:tc>
          <w:tcPr>
            <w:tcW w:type="dxa" w:w="13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668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shd w:fill="ECE8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means for the build</w:t>
            </w:r>
          </w:p>
        </w:tc>
      </w:tr>
      <w:tr>
        <w:trPr>
          <w:tblHeader w:val="off"/>
        </w:trPr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Transaction-level data</w:t>
            </w:r>
          </w:p>
        </w:tc>
        <w:tc>
          <w:tcPr>
            <w:tcW w:type="dxa" w:w="13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Yes, transactions can be extracted</w:t>
            </w:r>
          </w:p>
        </w:tc>
        <w:tc>
          <w:tcPr>
            <w:tcW w:type="dxa" w:w="668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Spending screen works as designed: per-pay-cycle categories, merchants, recategorising and search, all from transactions.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transactions.json</w:t>
            </w:r>
            <w:r>
              <w:rPr>
                <w:sz w:val="18"/>
                <w:szCs w:val="18"/>
              </w:rPr>
              <w:t xml:space="preserve"> is the model of that feed</w:t>
            </w:r>
          </w:p>
        </w:tc>
      </w:tr>
      <w:tr>
        <w:trPr>
          <w:tblHeader w:val="off"/>
        </w:trPr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180-day pull</w:t>
            </w:r>
          </w:p>
        </w:tc>
        <w:tc>
          <w:tcPr>
            <w:tcW w:type="dxa" w:w="13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Yes, 180 days</w:t>
            </w:r>
          </w:p>
        </w:tc>
        <w:tc>
          <w:tcPr>
            <w:tcW w:type="dxa" w:w="668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six-month chart stays; the mock already holds 180 days</w:t>
            </w:r>
          </w:p>
        </w:tc>
      </w:tr>
      <w:tr>
        <w:trPr>
          <w:tblHeader w:val="off"/>
        </w:trPr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Flagging transfers between own accounts</w:t>
            </w:r>
          </w:p>
        </w:tc>
        <w:tc>
          <w:tcPr>
            <w:tcW w:type="dxa" w:w="13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 conclusively.</w:t>
            </w:r>
            <w:r>
              <w:rPr>
                <w:sz w:val="18"/>
                <w:szCs w:val="18"/>
              </w:rPr>
              <w:t xml:space="preserve"> The customer can connect more than one account</w:t>
            </w:r>
          </w:p>
        </w:tc>
        <w:tc>
          <w:tcPr>
            <w:tcW w:type="dxa" w:w="668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Tippla infers them: a debit on one connected account and the same amount credited to another within 2 days is a transfer and leaves every total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findTransferPairs</w:t>
            </w:r>
            <w:r>
              <w:rPr>
                <w:sz w:val="18"/>
                <w:szCs w:val="18"/>
              </w:rPr>
              <w:t xml:space="preserve">). Onboarding (O3) should ask the customer to connect every account they use. Transfer-looking items with no match are listed for the customer to confirm, rather than silently excluded</w:t>
            </w:r>
          </w:p>
        </w:tc>
      </w:tr>
      <w:tr>
        <w:trPr>
          <w:tblHeader w:val="off"/>
        </w:trPr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Per-lender balances and repayments</w:t>
            </w:r>
          </w:p>
        </w:tc>
        <w:tc>
          <w:tcPr>
            <w:tcW w:type="dxa" w:w="13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From transactions only</w:t>
            </w:r>
          </w:p>
        </w:tc>
        <w:tc>
          <w:tcPr>
            <w:tcW w:type="dxa" w:w="668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Per-lender repayments, dishonours and "borrowed / repaid so far" come from transactions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activeLoans()[].activity</w:t>
            </w:r>
            <w:r>
              <w:rPr>
                <w:sz w:val="18"/>
                <w:szCs w:val="18"/>
              </w:rPr>
              <w:t xml:space="preserve">). TaleFin's class totals are the cross-check. Balances stay labelled "estimated"</w:t>
            </w:r>
          </w:p>
        </w:tc>
      </w:tr>
      <w:tr>
        <w:trPr>
          <w:tblHeader w:val="off"/>
        </w:trPr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SCORED_DATETIME</w:t>
            </w:r>
            <w:r>
              <w:rPr>
                <w:sz w:val="18"/>
                <w:szCs w:val="18"/>
              </w:rPr>
              <w:t xml:space="preserve"> timezone</w:t>
            </w:r>
          </w:p>
        </w:tc>
        <w:tc>
          <w:tcPr>
            <w:tcW w:type="dxa" w:w="13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AEST</w:t>
            </w:r>
          </w:p>
        </w:tc>
        <w:tc>
          <w:tcPr>
            <w:tcW w:type="dxa" w:w="668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Already handled</w:t>
            </w:r>
          </w:p>
        </w:tc>
      </w:tr>
      <w:tr>
        <w:trPr>
          <w:tblHeader w:val="off"/>
        </w:trPr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26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When AM2117/AM2120/AM2123 are populated</w:t>
            </w:r>
          </w:p>
        </w:tc>
        <w:tc>
          <w:tcPr>
            <w:tcW w:type="dxa" w:w="1305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Open, low priority</w:t>
            </w:r>
          </w:p>
        </w:tc>
        <w:tc>
          <w:tcPr>
            <w:tcW w:type="dxa" w:w="6681"/>
            <w:tcBorders>
              <w:top w:val="single" w:color="D6D0E8" w:sz="4"/>
              <w:left w:val="single" w:color="D6D0E8" w:sz="4"/>
              <w:bottom w:val="single" w:color="D6D0E8" w:sz="4"/>
              <w:right w:val="single" w:color="D6D0E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Lender names already come from the other lists; this only confirms an assumption</w:t>
            </w: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A96"/>
        <w:sz w:val="16"/>
        <w:szCs w:val="16"/>
      </w:rPr>
      <w:t xml:space="preserve">Tippla · page </w:t>
    </w:r>
    <w:r>
      <w:rPr>
        <w:color w:val="8A8A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  <w:lvl w:ilvl="2" w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C1830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4A3AA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C183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2026-09-30T13:29:05.201Z</dcterms:created>
  <dcterms:modified xsi:type="dcterms:W3CDTF">2026-09-30T13:29:05.201Z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