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Tippla: decision sheet</w:t>
      </w:r>
    </w:p>
    <w:p>
      <w:pPr>
        <w:spacing w:after="120"/>
      </w:pPr>
      <w:r>
        <w:rPr>
          <w:color w:val="5B6670"/>
          <w:sz w:val="20"/>
          <w:szCs w:val="20"/>
        </w:rPr>
        <w:t xml:space="preserve">Open questions, compliance sign-offs and retention periods · prepared 06/10/2026</w:t>
      </w:r>
    </w:p>
    <w:p>
      <w:pPr>
        <w:pStyle w:val="Heading1"/>
      </w:pPr>
      <w:r>
        <w:t xml:space="preserve">1. How to use this sheet</w:t>
      </w:r>
    </w:p>
    <w:p>
      <w:pPr>
        <w:spacing w:after="120"/>
      </w:pPr>
      <w:r>
        <w:rPr>
          <w:sz w:val="20"/>
          <w:szCs w:val="20"/>
        </w:rPr>
        <w:t xml:space="preserve">Each item explains the question in plain English, what the app does now, my recommendation and what changes if you choose differently. Write the decision, who made it and the date in the blank rows. Send the completed sheet back and I'll update the app and docs/10_open_questions.md to match.</w:t>
      </w:r>
    </w:p>
    <w:p>
      <w:pPr>
        <w:pStyle w:val="ListParagraph"/>
        <w:numPr>
          <w:ilvl w:val="0"/>
          <w:numId w:val="2"/>
        </w:numPr>
        <w:spacing w:after="60"/>
      </w:pPr>
      <w:r>
        <w:rPr>
          <w:b/>
          <w:bCs/>
          <w:sz w:val="20"/>
          <w:szCs w:val="20"/>
        </w:rPr>
        <w:t xml:space="preserve">High:</w:t>
      </w:r>
      <w:r>
        <w:rPr>
          <w:sz w:val="20"/>
          <w:szCs w:val="20"/>
        </w:rPr>
        <w:t xml:space="preserve"> must be settled before real members use Tippla.</w:t>
      </w:r>
    </w:p>
    <w:p>
      <w:pPr>
        <w:pStyle w:val="ListParagraph"/>
        <w:numPr>
          <w:ilvl w:val="0"/>
          <w:numId w:val="2"/>
        </w:numPr>
        <w:spacing w:after="60"/>
      </w:pPr>
      <w:r>
        <w:rPr>
          <w:b/>
          <w:bCs/>
          <w:sz w:val="20"/>
          <w:szCs w:val="20"/>
        </w:rPr>
        <w:t xml:space="preserve">Medium:</w:t>
      </w:r>
      <w:r>
        <w:rPr>
          <w:sz w:val="20"/>
          <w:szCs w:val="20"/>
        </w:rPr>
        <w:t xml:space="preserve"> must be settled before that particular feature is switched on.</w:t>
      </w:r>
    </w:p>
    <w:p>
      <w:pPr>
        <w:pStyle w:val="ListParagraph"/>
        <w:numPr>
          <w:ilvl w:val="0"/>
          <w:numId w:val="2"/>
        </w:numPr>
        <w:spacing w:after="60"/>
      </w:pPr>
      <w:r>
        <w:rPr>
          <w:b/>
          <w:bCs/>
          <w:sz w:val="20"/>
          <w:szCs w:val="20"/>
        </w:rPr>
        <w:t xml:space="preserve">Low:</w:t>
      </w:r>
      <w:r>
        <w:rPr>
          <w:sz w:val="20"/>
          <w:szCs w:val="20"/>
        </w:rPr>
        <w:t xml:space="preserve"> can be tuned later, or needs no action.</w:t>
      </w:r>
    </w:p>
    <w:p>
      <w:pPr>
        <w:spacing w:after="120"/>
      </w:pPr>
      <w:r>
        <w:rPr>
          <w:sz w:val="20"/>
          <w:szCs w:val="20"/>
        </w:rPr>
        <w:t xml:space="preserve">Recommendations on legal questions are a starting point for counsel, not legal advice. The fact-check sheet (Tippla_Fact_Check.docx) covers the directory entries and helplines.</w:t>
      </w:r>
    </w:p>
    <w:p>
      <w:pPr>
        <w:spacing w:after="120"/>
      </w:pPr>
      <w:r>
        <w:rPr>
          <w:color w:val="5B6670"/>
          <w:sz w:val="20"/>
          <w:szCs w:val="20"/>
        </w:rPr>
        <w:t xml:space="preserve">Q17–Q20 are already decided and aren't repeated here.</w:t>
      </w:r>
    </w:p>
    <w:p>
      <w:pPr>
        <w:pStyle w:val="Heading2"/>
        <w:keepNext/>
      </w:pPr>
      <w:r>
        <w:t xml:space="preserve">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1400"/>
        <w:gridCol w:w="900"/>
        <w:gridCol w:w="3426"/>
      </w:tblGrid>
      <w:tr>
        <w:trPr>
          <w:tblHeader/>
        </w:trPr>
        <w:tc>
          <w:tcPr>
            <w:tcW w:type="dxa" w:w="700"/>
            <w:tcBorders>
              <w:top w:val="single" w:color="C9D1D6" w:sz="4"/>
              <w:left w:val="single" w:color="C9D1D6" w:sz="4"/>
              <w:bottom w:val="single" w:color="C9D1D6" w:sz="4"/>
              <w:right w:val="single" w:color="C9D1D6" w:sz="4"/>
            </w:tcBorders>
            <w:shd w:fill="E6EFEC" w:color="auto" w:val="clear"/>
            <w:tcMar>
              <w:top w:type="dxa" w:w="70"/>
              <w:left w:type="dxa" w:w="110"/>
              <w:bottom w:type="dxa" w:w="70"/>
              <w:right w:type="dxa" w:w="110"/>
            </w:tcMar>
          </w:tcPr>
          <w:p>
            <w:pPr>
              <w:spacing w:after="40"/>
            </w:pPr>
            <w:r>
              <w:rPr>
                <w:b/>
                <w:bCs/>
                <w:sz w:val="19"/>
                <w:szCs w:val="19"/>
              </w:rPr>
              <w:t xml:space="preserve">Item</w:t>
            </w:r>
          </w:p>
        </w:tc>
        <w:tc>
          <w:tcPr>
            <w:tcW w:type="dxa" w:w="2600"/>
            <w:tcBorders>
              <w:top w:val="single" w:color="C9D1D6" w:sz="4"/>
              <w:left w:val="single" w:color="C9D1D6" w:sz="4"/>
              <w:bottom w:val="single" w:color="C9D1D6" w:sz="4"/>
              <w:right w:val="single" w:color="C9D1D6" w:sz="4"/>
            </w:tcBorders>
            <w:shd w:fill="E6EFEC" w:color="auto" w:val="clear"/>
            <w:tcMar>
              <w:top w:type="dxa" w:w="70"/>
              <w:left w:type="dxa" w:w="110"/>
              <w:bottom w:type="dxa" w:w="70"/>
              <w:right w:type="dxa" w:w="110"/>
            </w:tcMar>
          </w:tcPr>
          <w:p>
            <w:pPr>
              <w:spacing w:after="40"/>
            </w:pPr>
            <w:r>
              <w:rPr>
                <w:b/>
                <w:bCs/>
                <w:sz w:val="19"/>
                <w:szCs w:val="19"/>
              </w:rPr>
              <w:t xml:space="preserve">Topic</w:t>
            </w:r>
          </w:p>
        </w:tc>
        <w:tc>
          <w:tcPr>
            <w:tcW w:type="dxa" w:w="1400"/>
            <w:tcBorders>
              <w:top w:val="single" w:color="C9D1D6" w:sz="4"/>
              <w:left w:val="single" w:color="C9D1D6" w:sz="4"/>
              <w:bottom w:val="single" w:color="C9D1D6" w:sz="4"/>
              <w:right w:val="single" w:color="C9D1D6" w:sz="4"/>
            </w:tcBorders>
            <w:shd w:fill="E6EFEC" w:color="auto" w:val="clear"/>
            <w:tcMar>
              <w:top w:type="dxa" w:w="70"/>
              <w:left w:type="dxa" w:w="110"/>
              <w:bottom w:type="dxa" w:w="70"/>
              <w:right w:type="dxa" w:w="110"/>
            </w:tcMar>
          </w:tcPr>
          <w:p>
            <w:pPr>
              <w:spacing w:after="40"/>
            </w:pPr>
            <w:r>
              <w:rPr>
                <w:b/>
                <w:bCs/>
                <w:sz w:val="19"/>
                <w:szCs w:val="19"/>
              </w:rPr>
              <w:t xml:space="preserve">Owner</w:t>
            </w:r>
          </w:p>
        </w:tc>
        <w:tc>
          <w:tcPr>
            <w:tcW w:type="dxa" w:w="900"/>
            <w:tcBorders>
              <w:top w:val="single" w:color="C9D1D6" w:sz="4"/>
              <w:left w:val="single" w:color="C9D1D6" w:sz="4"/>
              <w:bottom w:val="single" w:color="C9D1D6" w:sz="4"/>
              <w:right w:val="single" w:color="C9D1D6" w:sz="4"/>
            </w:tcBorders>
            <w:shd w:fill="E6EFEC" w:color="auto" w:val="clear"/>
            <w:tcMar>
              <w:top w:type="dxa" w:w="70"/>
              <w:left w:type="dxa" w:w="110"/>
              <w:bottom w:type="dxa" w:w="70"/>
              <w:right w:type="dxa" w:w="110"/>
            </w:tcMar>
          </w:tcPr>
          <w:p>
            <w:pPr>
              <w:spacing w:after="40"/>
            </w:pPr>
            <w:r>
              <w:rPr>
                <w:b/>
                <w:bCs/>
                <w:sz w:val="19"/>
                <w:szCs w:val="19"/>
              </w:rPr>
              <w:t xml:space="preserve">Priority</w:t>
            </w:r>
          </w:p>
        </w:tc>
        <w:tc>
          <w:tcPr>
            <w:tcW w:type="dxa" w:w="3426"/>
            <w:tcBorders>
              <w:top w:val="single" w:color="C9D1D6" w:sz="4"/>
              <w:left w:val="single" w:color="C9D1D6" w:sz="4"/>
              <w:bottom w:val="single" w:color="C9D1D6" w:sz="4"/>
              <w:right w:val="single" w:color="C9D1D6" w:sz="4"/>
            </w:tcBorders>
            <w:shd w:fill="E6EFEC" w:color="auto" w:val="clear"/>
            <w:tcMar>
              <w:top w:type="dxa" w:w="70"/>
              <w:left w:type="dxa" w:w="110"/>
              <w:bottom w:type="dxa" w:w="70"/>
              <w:right w:type="dxa" w:w="110"/>
            </w:tcMar>
          </w:tcPr>
          <w:p>
            <w:pPr>
              <w:spacing w:after="40"/>
            </w:pPr>
            <w:r>
              <w:rPr>
                <w:b/>
                <w:bCs/>
                <w:sz w:val="19"/>
                <w:szCs w:val="19"/>
              </w:rPr>
              <w:t xml:space="preserve">Recommendation in brief</w:t>
            </w:r>
          </w:p>
        </w:tc>
      </w:tr>
      <w:tr>
        <w:trPr>
          <w:cantSplit/>
        </w:trPr>
        <w:tc>
          <w:tcPr>
            <w:tcW w:type="dxa" w:w="7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Q8</w:t>
            </w:r>
          </w:p>
        </w:tc>
        <w:tc>
          <w:tcPr>
            <w:tcW w:type="dxa" w:w="26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Does using hardship options affect the SmartScore or lender matching?</w:t>
            </w:r>
          </w:p>
        </w:tc>
        <w:tc>
          <w:tcPr>
            <w:tcW w:type="dxa" w:w="14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Legal / TaleFin</w:t>
            </w:r>
          </w:p>
        </w:tc>
        <w:tc>
          <w:tcPr>
            <w:tcW w:type="dxa" w:w="9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High</w:t>
            </w:r>
          </w:p>
        </w:tc>
        <w:tc>
          <w:tcPr>
            <w:tcW w:type="dxa" w:w="3426"/>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Get written confirmation from TaleFin before real members see it.</w:t>
            </w:r>
          </w:p>
        </w:tc>
      </w:tr>
      <w:tr>
        <w:trPr>
          <w:cantSplit/>
        </w:trPr>
        <w:tc>
          <w:tcPr>
            <w:tcW w:type="dxa" w:w="7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Q43</w:t>
            </w:r>
          </w:p>
        </w:tc>
        <w:tc>
          <w:tcPr>
            <w:tcW w:type="dxa" w:w="26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When are lender offers paused?</w:t>
            </w:r>
          </w:p>
        </w:tc>
        <w:tc>
          <w:tcPr>
            <w:tcW w:type="dxa" w:w="14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Legal</w:t>
            </w:r>
          </w:p>
        </w:tc>
        <w:tc>
          <w:tcPr>
            <w:tcW w:type="dxa" w:w="9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High</w:t>
            </w:r>
          </w:p>
        </w:tc>
        <w:tc>
          <w:tcPr>
            <w:tcW w:type="dxa" w:w="3426"/>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Keep all three triggers, including pausing on just opening the Hardship page.</w:t>
            </w:r>
          </w:p>
        </w:tc>
      </w:tr>
      <w:tr>
        <w:trPr>
          <w:cantSplit/>
        </w:trPr>
        <w:tc>
          <w:tcPr>
            <w:tcW w:type="dxa" w:w="7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Q23</w:t>
            </w:r>
          </w:p>
        </w:tc>
        <w:tc>
          <w:tcPr>
            <w:tcW w:type="dxa" w:w="26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Is usage analytics on by default?</w:t>
            </w:r>
          </w:p>
        </w:tc>
        <w:tc>
          <w:tcPr>
            <w:tcW w:type="dxa" w:w="14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Legal</w:t>
            </w:r>
          </w:p>
        </w:tc>
        <w:tc>
          <w:tcPr>
            <w:tcW w:type="dxa" w:w="9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High</w:t>
            </w:r>
          </w:p>
        </w:tc>
        <w:tc>
          <w:tcPr>
            <w:tcW w:type="dxa" w:w="3426"/>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Keep default-on only if counsel agrees it fits the Australian Privacy Principles and the existing CDR consents, and the privacy notice says so.</w:t>
            </w:r>
          </w:p>
        </w:tc>
      </w:tr>
      <w:tr>
        <w:trPr>
          <w:cantSplit/>
        </w:trPr>
        <w:tc>
          <w:tcPr>
            <w:tcW w:type="dxa" w:w="7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Q40</w:t>
            </w:r>
          </w:p>
        </w:tc>
        <w:tc>
          <w:tcPr>
            <w:tcW w:type="dxa" w:w="26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Ask Tippla: is it ready for real members?</w:t>
            </w:r>
          </w:p>
        </w:tc>
        <w:tc>
          <w:tcPr>
            <w:tcW w:type="dxa" w:w="14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Product / Compliance</w:t>
            </w:r>
          </w:p>
        </w:tc>
        <w:tc>
          <w:tcPr>
            <w:tcW w:type="dxa" w:w="9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High</w:t>
            </w:r>
          </w:p>
        </w:tc>
        <w:tc>
          <w:tcPr>
            <w:tcW w:type="dxa" w:w="3426"/>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Launch with scripted answers only.</w:t>
            </w:r>
          </w:p>
        </w:tc>
      </w:tr>
      <w:tr>
        <w:trPr>
          <w:cantSplit/>
        </w:trPr>
        <w:tc>
          <w:tcPr>
            <w:tcW w:type="dxa" w:w="7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Q41</w:t>
            </w:r>
          </w:p>
        </w:tc>
        <w:tc>
          <w:tcPr>
            <w:tcW w:type="dxa" w:w="26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How long are assistant logs kept?</w:t>
            </w:r>
          </w:p>
        </w:tc>
        <w:tc>
          <w:tcPr>
            <w:tcW w:type="dxa" w:w="14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Legal</w:t>
            </w:r>
          </w:p>
        </w:tc>
        <w:tc>
          <w:tcPr>
            <w:tcW w:type="dxa" w:w="9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High</w:t>
            </w:r>
          </w:p>
        </w:tc>
        <w:tc>
          <w:tcPr>
            <w:tcW w:type="dxa" w:w="3426"/>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90 days, then delete.</w:t>
            </w:r>
          </w:p>
        </w:tc>
      </w:tr>
      <w:tr>
        <w:trPr>
          <w:cantSplit/>
        </w:trPr>
        <w:tc>
          <w:tcPr>
            <w:tcW w:type="dxa" w:w="7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Q11</w:t>
            </w:r>
          </w:p>
        </w:tc>
        <w:tc>
          <w:tcPr>
            <w:tcW w:type="dxa" w:w="26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What can go in a lender package?</w:t>
            </w:r>
          </w:p>
        </w:tc>
        <w:tc>
          <w:tcPr>
            <w:tcW w:type="dxa" w:w="14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Legal</w:t>
            </w:r>
          </w:p>
        </w:tc>
        <w:tc>
          <w:tcPr>
            <w:tcW w:type="dxa" w:w="9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High</w:t>
            </w:r>
          </w:p>
        </w:tc>
        <w:tc>
          <w:tcPr>
            <w:tcW w:type="dxa" w:w="3426"/>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Confirm as is.</w:t>
            </w:r>
          </w:p>
        </w:tc>
      </w:tr>
      <w:tr>
        <w:trPr>
          <w:cantSplit/>
        </w:trPr>
        <w:tc>
          <w:tcPr>
            <w:tcW w:type="dxa" w:w="7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Q14</w:t>
            </w:r>
          </w:p>
        </w:tc>
        <w:tc>
          <w:tcPr>
            <w:tcW w:type="dxa" w:w="26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Licensing for offers and referrals</w:t>
            </w:r>
          </w:p>
        </w:tc>
        <w:tc>
          <w:tcPr>
            <w:tcW w:type="dxa" w:w="14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Legal</w:t>
            </w:r>
          </w:p>
        </w:tc>
        <w:tc>
          <w:tcPr>
            <w:tcW w:type="dxa" w:w="9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High</w:t>
            </w:r>
          </w:p>
        </w:tc>
        <w:tc>
          <w:tcPr>
            <w:tcW w:type="dxa" w:w="3426"/>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Keep offers informational and switched off for real members until counsel answers this together with gate G1.</w:t>
            </w:r>
          </w:p>
        </w:tc>
      </w:tr>
      <w:tr>
        <w:trPr>
          <w:cantSplit/>
        </w:trPr>
        <w:tc>
          <w:tcPr>
            <w:tcW w:type="dxa" w:w="7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Q10</w:t>
            </w:r>
          </w:p>
        </w:tc>
        <w:tc>
          <w:tcPr>
            <w:tcW w:type="dxa" w:w="26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How often bank data refreshes</w:t>
            </w:r>
          </w:p>
        </w:tc>
        <w:tc>
          <w:tcPr>
            <w:tcW w:type="dxa" w:w="14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TaleFin / Commercial</w:t>
            </w:r>
          </w:p>
        </w:tc>
        <w:tc>
          <w:tcPr>
            <w:tcW w:type="dxa" w:w="9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High</w:t>
            </w:r>
          </w:p>
        </w:tc>
        <w:tc>
          <w:tcPr>
            <w:tcW w:type="dxa" w:w="3426"/>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Agree a cadence with TaleFin, at least daily if the cost allows.</w:t>
            </w:r>
          </w:p>
        </w:tc>
      </w:tr>
      <w:tr>
        <w:trPr>
          <w:cantSplit/>
        </w:trPr>
        <w:tc>
          <w:tcPr>
            <w:tcW w:type="dxa" w:w="7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Q35</w:t>
            </w:r>
          </w:p>
        </w:tc>
        <w:tc>
          <w:tcPr>
            <w:tcW w:type="dxa" w:w="26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Directory entries</w:t>
            </w:r>
          </w:p>
        </w:tc>
        <w:tc>
          <w:tcPr>
            <w:tcW w:type="dxa" w:w="14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Operations</w:t>
            </w:r>
          </w:p>
        </w:tc>
        <w:tc>
          <w:tcPr>
            <w:tcW w:type="dxa" w:w="9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High</w:t>
            </w:r>
          </w:p>
        </w:tc>
        <w:tc>
          <w:tcPr>
            <w:tcW w:type="dxa" w:w="3426"/>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Use the fact-check sheet that comes with this document, then record the dates in src/data/directories.ts.</w:t>
            </w:r>
          </w:p>
        </w:tc>
      </w:tr>
      <w:tr>
        <w:trPr>
          <w:cantSplit/>
        </w:trPr>
        <w:tc>
          <w:tcPr>
            <w:tcW w:type="dxa" w:w="7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Q36</w:t>
            </w:r>
          </w:p>
        </w:tc>
        <w:tc>
          <w:tcPr>
            <w:tcW w:type="dxa" w:w="26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Entitlements answers and the hardship letter</w:t>
            </w:r>
          </w:p>
        </w:tc>
        <w:tc>
          <w:tcPr>
            <w:tcW w:type="dxa" w:w="14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Legal</w:t>
            </w:r>
          </w:p>
        </w:tc>
        <w:tc>
          <w:tcPr>
            <w:tcW w:type="dxa" w:w="9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High</w:t>
            </w:r>
          </w:p>
        </w:tc>
        <w:tc>
          <w:tcPr>
            <w:tcW w:type="dxa" w:w="3426"/>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Counsel and a vulnerable-consumer reviewer to read the letter and follow-up wording before it's switched on.</w:t>
            </w:r>
          </w:p>
        </w:tc>
      </w:tr>
      <w:tr>
        <w:trPr>
          <w:cantSplit/>
        </w:trPr>
        <w:tc>
          <w:tcPr>
            <w:tcW w:type="dxa" w:w="7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Q42</w:t>
            </w:r>
          </w:p>
        </w:tc>
        <w:tc>
          <w:tcPr>
            <w:tcW w:type="dxa" w:w="26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Crisis line</w:t>
            </w:r>
          </w:p>
        </w:tc>
        <w:tc>
          <w:tcPr>
            <w:tcW w:type="dxa" w:w="14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Operations</w:t>
            </w:r>
          </w:p>
        </w:tc>
        <w:tc>
          <w:tcPr>
            <w:tcW w:type="dxa" w:w="9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High</w:t>
            </w:r>
          </w:p>
        </w:tc>
        <w:tc>
          <w:tcPr>
            <w:tcW w:type="dxa" w:w="3426"/>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Confirm using the fact-check sheet.</w:t>
            </w:r>
          </w:p>
        </w:tc>
      </w:tr>
      <w:tr>
        <w:trPr>
          <w:cantSplit/>
        </w:trPr>
        <w:tc>
          <w:tcPr>
            <w:tcW w:type="dxa" w:w="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Q1</w:t>
            </w:r>
          </w:p>
        </w:tc>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Should the SmartScore use credit bureau data?</w:t>
            </w:r>
          </w:p>
        </w:tc>
        <w:tc>
          <w:tcPr>
            <w:tcW w:type="dxa" w:w="1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Legal</w:t>
            </w:r>
          </w:p>
        </w:tc>
        <w:tc>
          <w:tcPr>
            <w:tcW w:type="dxa" w:w="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Medium</w:t>
            </w:r>
          </w:p>
        </w:tc>
        <w:tc>
          <w:tcPr>
            <w:tcW w:type="dxa" w:w="3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Keep bank statements only for launch.</w:t>
            </w:r>
          </w:p>
        </w:tc>
      </w:tr>
      <w:tr>
        <w:trPr>
          <w:cantSplit/>
        </w:trPr>
        <w:tc>
          <w:tcPr>
            <w:tcW w:type="dxa" w:w="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Q2</w:t>
            </w:r>
          </w:p>
        </w:tc>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Score factor definitions and weights</w:t>
            </w:r>
          </w:p>
        </w:tc>
        <w:tc>
          <w:tcPr>
            <w:tcW w:type="dxa" w:w="1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TaleFin</w:t>
            </w:r>
          </w:p>
        </w:tc>
        <w:tc>
          <w:tcPr>
            <w:tcW w:type="dxa" w:w="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Medium</w:t>
            </w:r>
          </w:p>
        </w:tc>
        <w:tc>
          <w:tcPr>
            <w:tcW w:type="dxa" w:w="3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Ask TaleFin for the definitions in writing.</w:t>
            </w:r>
          </w:p>
        </w:tc>
      </w:tr>
      <w:tr>
        <w:trPr>
          <w:cantSplit/>
        </w:trPr>
        <w:tc>
          <w:tcPr>
            <w:tcW w:type="dxa" w:w="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Q3</w:t>
            </w:r>
          </w:p>
        </w:tc>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Can we show score projections ("do X, gain about N points")?</w:t>
            </w:r>
          </w:p>
        </w:tc>
        <w:tc>
          <w:tcPr>
            <w:tcW w:type="dxa" w:w="1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TaleFin</w:t>
            </w:r>
          </w:p>
        </w:tc>
        <w:tc>
          <w:tcPr>
            <w:tcW w:type="dxa" w:w="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Medium</w:t>
            </w:r>
          </w:p>
        </w:tc>
        <w:tc>
          <w:tcPr>
            <w:tcW w:type="dxa" w:w="3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Only show point estimates if TaleFin provides weights or a simulation service.</w:t>
            </w:r>
          </w:p>
        </w:tc>
      </w:tr>
      <w:tr>
        <w:trPr>
          <w:cantSplit/>
        </w:trPr>
        <w:tc>
          <w:tcPr>
            <w:tcW w:type="dxa" w:w="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Q4</w:t>
            </w:r>
          </w:p>
        </w:tc>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Stage boundaries</w:t>
            </w:r>
          </w:p>
        </w:tc>
        <w:tc>
          <w:tcPr>
            <w:tcW w:type="dxa" w:w="1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Product</w:t>
            </w:r>
          </w:p>
        </w:tc>
        <w:tc>
          <w:tcPr>
            <w:tcW w:type="dxa" w:w="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Medium</w:t>
            </w:r>
          </w:p>
        </w:tc>
        <w:tc>
          <w:tcPr>
            <w:tcW w:type="dxa" w:w="3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Keep, but check against TaleFin's own bands.</w:t>
            </w:r>
          </w:p>
        </w:tc>
      </w:tr>
      <w:tr>
        <w:trPr>
          <w:cantSplit/>
        </w:trPr>
        <w:tc>
          <w:tcPr>
            <w:tcW w:type="dxa" w:w="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Q6</w:t>
            </w:r>
          </w:p>
        </w:tc>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Peer comparisons</w:t>
            </w:r>
          </w:p>
        </w:tc>
        <w:tc>
          <w:tcPr>
            <w:tcW w:type="dxa" w:w="1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Product / Data</w:t>
            </w:r>
          </w:p>
        </w:tc>
        <w:tc>
          <w:tcPr>
            <w:tcW w:type="dxa" w:w="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Medium</w:t>
            </w:r>
          </w:p>
        </w:tc>
        <w:tc>
          <w:tcPr>
            <w:tcW w:type="dxa" w:w="3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Hide comparisons for real members until there is real data with at least 100 people per group.</w:t>
            </w:r>
          </w:p>
        </w:tc>
      </w:tr>
      <w:tr>
        <w:trPr>
          <w:cantSplit/>
        </w:trPr>
        <w:tc>
          <w:tcPr>
            <w:tcW w:type="dxa" w:w="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Q9</w:t>
            </w:r>
          </w:p>
        </w:tc>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Standard vs Pro</w:t>
            </w:r>
          </w:p>
        </w:tc>
        <w:tc>
          <w:tcPr>
            <w:tcW w:type="dxa" w:w="1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Commercial</w:t>
            </w:r>
          </w:p>
        </w:tc>
        <w:tc>
          <w:tcPr>
            <w:tcW w:type="dxa" w:w="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Medium</w:t>
            </w:r>
          </w:p>
        </w:tc>
        <w:tc>
          <w:tcPr>
            <w:tcW w:type="dxa" w:w="3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Commercial call.</w:t>
            </w:r>
          </w:p>
        </w:tc>
      </w:tr>
      <w:tr>
        <w:trPr>
          <w:cantSplit/>
        </w:trPr>
        <w:tc>
          <w:tcPr>
            <w:tcW w:type="dxa" w:w="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Q12</w:t>
            </w:r>
          </w:p>
        </w:tc>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Transaction format and categories</w:t>
            </w:r>
          </w:p>
        </w:tc>
        <w:tc>
          <w:tcPr>
            <w:tcW w:type="dxa" w:w="1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TaleFin</w:t>
            </w:r>
          </w:p>
        </w:tc>
        <w:tc>
          <w:tcPr>
            <w:tcW w:type="dxa" w:w="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Medium</w:t>
            </w:r>
          </w:p>
        </w:tc>
        <w:tc>
          <w:tcPr>
            <w:tcW w:type="dxa" w:w="3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Get the full schema from TaleFin before connecting real data.</w:t>
            </w:r>
          </w:p>
        </w:tc>
      </w:tr>
      <w:tr>
        <w:trPr>
          <w:cantSplit/>
        </w:trPr>
        <w:tc>
          <w:tcPr>
            <w:tcW w:type="dxa" w:w="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Q13</w:t>
            </w:r>
          </w:p>
        </w:tc>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Where consents are collected</w:t>
            </w:r>
          </w:p>
        </w:tc>
        <w:tc>
          <w:tcPr>
            <w:tcW w:type="dxa" w:w="1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Legal / Product</w:t>
            </w:r>
          </w:p>
        </w:tc>
        <w:tc>
          <w:tcPr>
            <w:tcW w:type="dxa" w:w="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Medium</w:t>
            </w:r>
          </w:p>
        </w:tc>
        <w:tc>
          <w:tcPr>
            <w:tcW w:type="dxa" w:w="3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Keep.</w:t>
            </w:r>
          </w:p>
        </w:tc>
      </w:tr>
      <w:tr>
        <w:trPr>
          <w:cantSplit/>
        </w:trPr>
        <w:tc>
          <w:tcPr>
            <w:tcW w:type="dxa" w:w="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Q15</w:t>
            </w:r>
          </w:p>
        </w:tc>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Visual design and brand</w:t>
            </w:r>
          </w:p>
        </w:tc>
        <w:tc>
          <w:tcPr>
            <w:tcW w:type="dxa" w:w="1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Design (Astra)</w:t>
            </w:r>
          </w:p>
        </w:tc>
        <w:tc>
          <w:tcPr>
            <w:tcW w:type="dxa" w:w="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Medium</w:t>
            </w:r>
          </w:p>
        </w:tc>
        <w:tc>
          <w:tcPr>
            <w:tcW w:type="dxa" w:w="3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Get the tokens from Astra; dropping them into design/tokens.json restyles the app.</w:t>
            </w:r>
          </w:p>
        </w:tc>
      </w:tr>
      <w:tr>
        <w:trPr>
          <w:cantSplit/>
        </w:trPr>
        <w:tc>
          <w:tcPr>
            <w:tcW w:type="dxa" w:w="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Q16</w:t>
            </w:r>
          </w:p>
        </w:tc>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Naming sensitive income types</w:t>
            </w:r>
          </w:p>
        </w:tc>
        <w:tc>
          <w:tcPr>
            <w:tcW w:type="dxa" w:w="1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Legal</w:t>
            </w:r>
          </w:p>
        </w:tc>
        <w:tc>
          <w:tcPr>
            <w:tcW w:type="dxa" w:w="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Medium</w:t>
            </w:r>
          </w:p>
        </w:tc>
        <w:tc>
          <w:tcPr>
            <w:tcW w:type="dxa" w:w="3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Keep.</w:t>
            </w:r>
          </w:p>
        </w:tc>
      </w:tr>
      <w:tr>
        <w:trPr>
          <w:cantSplit/>
        </w:trPr>
        <w:tc>
          <w:tcPr>
            <w:tcW w:type="dxa" w:w="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Q25</w:t>
            </w:r>
          </w:p>
        </w:tc>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Charging Tippla's fee on payday</w:t>
            </w:r>
          </w:p>
        </w:tc>
        <w:tc>
          <w:tcPr>
            <w:tcW w:type="dxa" w:w="1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Product / Legal</w:t>
            </w:r>
          </w:p>
        </w:tc>
        <w:tc>
          <w:tcPr>
            <w:tcW w:type="dxa" w:w="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Medium</w:t>
            </w:r>
          </w:p>
        </w:tc>
        <w:tc>
          <w:tcPr>
            <w:tcW w:type="dxa" w:w="3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Approve the approach under G7.</w:t>
            </w:r>
          </w:p>
        </w:tc>
      </w:tr>
      <w:tr>
        <w:trPr>
          <w:cantSplit/>
        </w:trPr>
        <w:tc>
          <w:tcPr>
            <w:tcW w:type="dxa" w:w="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Q27</w:t>
            </w:r>
          </w:p>
        </w:tc>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When to flag a new subscription</w:t>
            </w:r>
          </w:p>
        </w:tc>
        <w:tc>
          <w:tcPr>
            <w:tcW w:type="dxa" w:w="1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Product</w:t>
            </w:r>
          </w:p>
        </w:tc>
        <w:tc>
          <w:tcPr>
            <w:tcW w:type="dxa" w:w="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Medium</w:t>
            </w:r>
          </w:p>
        </w:tc>
        <w:tc>
          <w:tcPr>
            <w:tcW w:type="dxa" w:w="3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Switch to the spec 01 rule (wait for a second charge) before real members: fewer false alarms.</w:t>
            </w:r>
          </w:p>
        </w:tc>
      </w:tr>
      <w:tr>
        <w:trPr>
          <w:cantSplit/>
        </w:trPr>
        <w:tc>
          <w:tcPr>
            <w:tcW w:type="dxa" w:w="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Q30</w:t>
            </w:r>
          </w:p>
        </w:tc>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Where goals live; the first-week nudge</w:t>
            </w:r>
          </w:p>
        </w:tc>
        <w:tc>
          <w:tcPr>
            <w:tcW w:type="dxa" w:w="1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Product / Engineering</w:t>
            </w:r>
          </w:p>
        </w:tc>
        <w:tc>
          <w:tcPr>
            <w:tcW w:type="dxa" w:w="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Medium</w:t>
            </w:r>
          </w:p>
        </w:tc>
        <w:tc>
          <w:tcPr>
            <w:tcW w:type="dxa" w:w="3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Move goals into the database as part of the real-accounts work.</w:t>
            </w:r>
          </w:p>
        </w:tc>
      </w:tr>
      <w:tr>
        <w:trPr>
          <w:cantSplit/>
        </w:trPr>
        <w:tc>
          <w:tcPr>
            <w:tcW w:type="dxa" w:w="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Q32</w:t>
            </w:r>
          </w:p>
        </w:tc>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Corrections and the TaleFin Score</w:t>
            </w:r>
          </w:p>
        </w:tc>
        <w:tc>
          <w:tcPr>
            <w:tcW w:type="dxa" w:w="1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Product / TaleFin</w:t>
            </w:r>
          </w:p>
        </w:tc>
        <w:tc>
          <w:tcPr>
            <w:tcW w:type="dxa" w:w="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Medium</w:t>
            </w:r>
          </w:p>
        </w:tc>
        <w:tc>
          <w:tcPr>
            <w:tcW w:type="dxa" w:w="3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Ask TaleFin whether a corrections API exists.</w:t>
            </w:r>
          </w:p>
        </w:tc>
      </w:tr>
      <w:tr>
        <w:trPr>
          <w:cantSplit/>
        </w:trPr>
        <w:tc>
          <w:tcPr>
            <w:tcW w:type="dxa" w:w="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Q33</w:t>
            </w:r>
          </w:p>
        </w:tc>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Sharing anonymised corrections</w:t>
            </w:r>
          </w:p>
        </w:tc>
        <w:tc>
          <w:tcPr>
            <w:tcW w:type="dxa" w:w="1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Engineering / Legal</w:t>
            </w:r>
          </w:p>
        </w:tc>
        <w:tc>
          <w:tcPr>
            <w:tcW w:type="dxa" w:w="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Medium</w:t>
            </w:r>
          </w:p>
        </w:tc>
        <w:tc>
          <w:tcPr>
            <w:tcW w:type="dxa" w:w="3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Keep off until G3 is signed off and the privacy notice has a line about it.</w:t>
            </w:r>
          </w:p>
        </w:tc>
      </w:tr>
      <w:tr>
        <w:trPr>
          <w:cantSplit/>
        </w:trPr>
        <w:tc>
          <w:tcPr>
            <w:tcW w:type="dxa" w:w="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Q34</w:t>
            </w:r>
          </w:p>
        </w:tc>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Bill comparison</w:t>
            </w:r>
          </w:p>
        </w:tc>
        <w:tc>
          <w:tcPr>
            <w:tcW w:type="dxa" w:w="1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Product / Compliance</w:t>
            </w:r>
          </w:p>
        </w:tc>
        <w:tc>
          <w:tcPr>
            <w:tcW w:type="dxa" w:w="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Medium</w:t>
            </w:r>
          </w:p>
        </w:tc>
        <w:tc>
          <w:tcPr>
            <w:tcW w:type="dxa" w:w="3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Keep general pointers.</w:t>
            </w:r>
          </w:p>
        </w:tc>
      </w:tr>
      <w:tr>
        <w:trPr>
          <w:cantSplit/>
        </w:trPr>
        <w:tc>
          <w:tcPr>
            <w:tcW w:type="dxa" w:w="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Q37</w:t>
            </w:r>
          </w:p>
        </w:tc>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Plan steps</w:t>
            </w:r>
          </w:p>
        </w:tc>
        <w:tc>
          <w:tcPr>
            <w:tcW w:type="dxa" w:w="1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Product / Compliance</w:t>
            </w:r>
          </w:p>
        </w:tc>
        <w:tc>
          <w:tcPr>
            <w:tcW w:type="dxa" w:w="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Medium</w:t>
            </w:r>
          </w:p>
        </w:tc>
        <w:tc>
          <w:tcPr>
            <w:tcW w:type="dxa" w:w="3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Approve as general steps, not personal advice, under G2.</w:t>
            </w:r>
          </w:p>
        </w:tc>
      </w:tr>
      <w:tr>
        <w:trPr>
          <w:cantSplit/>
        </w:trPr>
        <w:tc>
          <w:tcPr>
            <w:tcW w:type="dxa" w:w="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Q39</w:t>
            </w:r>
          </w:p>
        </w:tc>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Credit file and cheaper-credit check</w:t>
            </w:r>
          </w:p>
        </w:tc>
        <w:tc>
          <w:tcPr>
            <w:tcW w:type="dxa" w:w="1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Legal / Commercial</w:t>
            </w:r>
          </w:p>
        </w:tc>
        <w:tc>
          <w:tcPr>
            <w:tcW w:type="dxa" w:w="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Medium</w:t>
            </w:r>
          </w:p>
        </w:tc>
        <w:tc>
          <w:tcPr>
            <w:tcW w:type="dxa" w:w="3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Keep as prototypes.</w:t>
            </w:r>
          </w:p>
        </w:tc>
      </w:tr>
      <w:tr>
        <w:trPr>
          <w:cantSplit/>
        </w:trPr>
        <w:tc>
          <w:tcPr>
            <w:tcW w:type="dxa" w:w="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Q5</w:t>
            </w:r>
          </w:p>
        </w:tc>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Gambling: gross or net?</w:t>
            </w:r>
          </w:p>
        </w:tc>
        <w:tc>
          <w:tcPr>
            <w:tcW w:type="dxa" w:w="1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TaleFin</w:t>
            </w:r>
          </w:p>
        </w:tc>
        <w:tc>
          <w:tcPr>
            <w:tcW w:type="dxa" w:w="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Low</w:t>
            </w:r>
          </w:p>
        </w:tc>
        <w:tc>
          <w:tcPr>
            <w:tcW w:type="dxa" w:w="3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Keep gross, with plain wording.</w:t>
            </w:r>
          </w:p>
        </w:tc>
      </w:tr>
      <w:tr>
        <w:trPr>
          <w:cantSplit/>
        </w:trPr>
        <w:tc>
          <w:tcPr>
            <w:tcW w:type="dxa" w:w="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Q7</w:t>
            </w:r>
          </w:p>
        </w:tc>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Loan rate and term for the repayment calculator</w:t>
            </w:r>
          </w:p>
        </w:tc>
        <w:tc>
          <w:tcPr>
            <w:tcW w:type="dxa" w:w="1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Product</w:t>
            </w:r>
          </w:p>
        </w:tc>
        <w:tc>
          <w:tcPr>
            <w:tcW w:type="dxa" w:w="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Low</w:t>
            </w:r>
          </w:p>
        </w:tc>
        <w:tc>
          <w:tcPr>
            <w:tcW w:type="dxa" w:w="3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Keep, and label the pre-filled figures as estimates.</w:t>
            </w:r>
          </w:p>
        </w:tc>
      </w:tr>
      <w:tr>
        <w:trPr>
          <w:cantSplit/>
        </w:trPr>
        <w:tc>
          <w:tcPr>
            <w:tcW w:type="dxa" w:w="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Q21</w:t>
            </w:r>
          </w:p>
        </w:tc>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Thresholds for safe to spend, notifications and savings claims</w:t>
            </w:r>
          </w:p>
        </w:tc>
        <w:tc>
          <w:tcPr>
            <w:tcW w:type="dxa" w:w="1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Product</w:t>
            </w:r>
          </w:p>
        </w:tc>
        <w:tc>
          <w:tcPr>
            <w:tcW w:type="dxa" w:w="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Low</w:t>
            </w:r>
          </w:p>
        </w:tc>
        <w:tc>
          <w:tcPr>
            <w:tcW w:type="dxa" w:w="3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Keep for launch; review after four weeks of analytics.</w:t>
            </w:r>
          </w:p>
        </w:tc>
      </w:tr>
      <w:tr>
        <w:trPr>
          <w:cantSplit/>
        </w:trPr>
        <w:tc>
          <w:tcPr>
            <w:tcW w:type="dxa" w:w="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Q22</w:t>
            </w:r>
          </w:p>
        </w:tc>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How savings goals build up</w:t>
            </w:r>
          </w:p>
        </w:tc>
        <w:tc>
          <w:tcPr>
            <w:tcW w:type="dxa" w:w="1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Product</w:t>
            </w:r>
          </w:p>
        </w:tc>
        <w:tc>
          <w:tcPr>
            <w:tcW w:type="dxa" w:w="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Low</w:t>
            </w:r>
          </w:p>
        </w:tc>
        <w:tc>
          <w:tcPr>
            <w:tcW w:type="dxa" w:w="3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Keep.</w:t>
            </w:r>
          </w:p>
        </w:tc>
      </w:tr>
      <w:tr>
        <w:trPr>
          <w:cantSplit/>
        </w:trPr>
        <w:tc>
          <w:tcPr>
            <w:tcW w:type="dxa" w:w="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Q24</w:t>
            </w:r>
          </w:p>
        </w:tc>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Where analytics lives</w:t>
            </w:r>
          </w:p>
        </w:tc>
        <w:tc>
          <w:tcPr>
            <w:tcW w:type="dxa" w:w="1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Product</w:t>
            </w:r>
          </w:p>
        </w:tc>
        <w:tc>
          <w:tcPr>
            <w:tcW w:type="dxa" w:w="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Low</w:t>
            </w:r>
          </w:p>
        </w:tc>
        <w:tc>
          <w:tcPr>
            <w:tcW w:type="dxa" w:w="3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Keep for now.</w:t>
            </w:r>
          </w:p>
        </w:tc>
      </w:tr>
      <w:tr>
        <w:trPr>
          <w:cantSplit/>
        </w:trPr>
        <w:tc>
          <w:tcPr>
            <w:tcW w:type="dxa" w:w="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Q26</w:t>
            </w:r>
          </w:p>
        </w:tc>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Feed ranking</w:t>
            </w:r>
          </w:p>
        </w:tc>
        <w:tc>
          <w:tcPr>
            <w:tcW w:type="dxa" w:w="1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Product</w:t>
            </w:r>
          </w:p>
        </w:tc>
        <w:tc>
          <w:tcPr>
            <w:tcW w:type="dxa" w:w="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Low</w:t>
            </w:r>
          </w:p>
        </w:tc>
        <w:tc>
          <w:tcPr>
            <w:tcW w:type="dxa" w:w="3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Keep as sample logic; tune with feed analytics.</w:t>
            </w:r>
          </w:p>
        </w:tc>
      </w:tr>
      <w:tr>
        <w:trPr>
          <w:cantSplit/>
        </w:trPr>
        <w:tc>
          <w:tcPr>
            <w:tcW w:type="dxa" w:w="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Q28</w:t>
            </w:r>
          </w:p>
        </w:tc>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Consent-expiring reconnect card</w:t>
            </w:r>
          </w:p>
        </w:tc>
        <w:tc>
          <w:tcPr>
            <w:tcW w:type="dxa" w:w="1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Product</w:t>
            </w:r>
          </w:p>
        </w:tc>
        <w:tc>
          <w:tcPr>
            <w:tcW w:type="dxa" w:w="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Low</w:t>
            </w:r>
          </w:p>
        </w:tc>
        <w:tc>
          <w:tcPr>
            <w:tcW w:type="dxa" w:w="3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Close: already done.</w:t>
            </w:r>
          </w:p>
        </w:tc>
      </w:tr>
      <w:tr>
        <w:trPr>
          <w:cantSplit/>
        </w:trPr>
        <w:tc>
          <w:tcPr>
            <w:tcW w:type="dxa" w:w="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Q29</w:t>
            </w:r>
          </w:p>
        </w:tc>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Which first insight a new member sees</w:t>
            </w:r>
          </w:p>
        </w:tc>
        <w:tc>
          <w:tcPr>
            <w:tcW w:type="dxa" w:w="1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Product</w:t>
            </w:r>
          </w:p>
        </w:tc>
        <w:tc>
          <w:tcPr>
            <w:tcW w:type="dxa" w:w="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Low</w:t>
            </w:r>
          </w:p>
        </w:tc>
        <w:tc>
          <w:tcPr>
            <w:tcW w:type="dxa" w:w="3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Keep; tune with the aha_priority experiment on /dev/analytics.</w:t>
            </w:r>
          </w:p>
        </w:tc>
      </w:tr>
      <w:tr>
        <w:trPr>
          <w:cantSplit/>
        </w:trPr>
        <w:tc>
          <w:tcPr>
            <w:tcW w:type="dxa" w:w="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Q31</w:t>
            </w:r>
          </w:p>
        </w:tc>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Forecast accuracy measure</w:t>
            </w:r>
          </w:p>
        </w:tc>
        <w:tc>
          <w:tcPr>
            <w:tcW w:type="dxa" w:w="1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Product / Data</w:t>
            </w:r>
          </w:p>
        </w:tc>
        <w:tc>
          <w:tcPr>
            <w:tcW w:type="dxa" w:w="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Low</w:t>
            </w:r>
          </w:p>
        </w:tc>
        <w:tc>
          <w:tcPr>
            <w:tcW w:type="dxa" w:w="3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Keep.</w:t>
            </w:r>
          </w:p>
        </w:tc>
      </w:tr>
      <w:tr>
        <w:trPr>
          <w:cantSplit/>
        </w:trPr>
        <w:tc>
          <w:tcPr>
            <w:tcW w:type="dxa" w:w="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Q38</w:t>
            </w:r>
          </w:p>
        </w:tc>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The "improved" demo state</w:t>
            </w:r>
          </w:p>
        </w:tc>
        <w:tc>
          <w:tcPr>
            <w:tcW w:type="dxa" w:w="1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Engineering</w:t>
            </w:r>
          </w:p>
        </w:tc>
        <w:tc>
          <w:tcPr>
            <w:tcW w:type="dxa" w:w="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Low</w:t>
            </w:r>
          </w:p>
        </w:tc>
        <w:tc>
          <w:tcPr>
            <w:tcW w:type="dxa" w:w="3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No decision needed for launch; it's demo-only.</w:t>
            </w:r>
          </w:p>
        </w:tc>
      </w:tr>
    </w:tbl>
    <w:p>
      <w:pPr>
        <w:spacing w:after="120"/>
      </w:pPr>
      <w:r>
        <w:rPr>
          <w:color w:val="5B6670"/>
          <w:sz w:val="20"/>
          <w:szCs w:val="20"/>
        </w:rPr>
        <w:t xml:space="preserve">11 high-priority items are shaded.</w:t>
      </w:r>
    </w:p>
    <w:p>
      <w:pPr>
        <w:pStyle w:val="Heading1"/>
        <w:pageBreakBefore/>
      </w:pPr>
      <w:r>
        <w:t xml:space="preserve">2. Compliance sign-offs (gates G1–G7)</w:t>
      </w:r>
    </w:p>
    <w:p>
      <w:pPr>
        <w:spacing w:after="120"/>
      </w:pPr>
      <w:r>
        <w:rPr>
          <w:sz w:val="20"/>
          <w:szCs w:val="20"/>
        </w:rPr>
        <w:t xml:space="preserve">Each gated feature is built to a stated limit and stays off for real members until its gate is signed off. The demo personas see everything, so the reviewer can look at each feature on the site first (paths below are on the Railway site).</w:t>
      </w:r>
    </w:p>
    <w:p>
      <w:pPr>
        <w:pStyle w:val="Heading2"/>
        <w:keepNext/>
      </w:pPr>
      <w:r>
        <w:t xml:space="preserve">G1 Credit assistance and licensing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Covers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Ask Tippla's borrowing answers, the cheaper-credit check prototype, lender offers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Where to see it</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/assistant (ask "should I get a loan?"), /offers, /progress/cheaper-credit</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What's built</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The assistant never recommends a loan, lender or whether to borrow. The cheaper-credit check is a prototype with no lenders. Offers are informational.</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Question to answer</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Is any of this credit assistance that needs an Australian Credit Licence or authorisation?</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Recommendation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Get counsel's written view. Until then, keep offers and the cheaper-credit check off for real members; the assistant's borrowing answers can stay (it declines and points to options).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Approved?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Yes  /  Yes, with conditions  /  No</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Conditions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Signed off by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bl>
    <w:p>
      <w:pPr>
        <w:spacing w:after="160"/>
      </w:pPr>
    </w:p>
    <w:p>
      <w:pPr>
        <w:pStyle w:val="Heading2"/>
        <w:keepNext/>
      </w:pPr>
      <w:r>
        <w:t xml:space="preserve">G2 Financial product advice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Covers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Plans, bill comparison pointers, Ask Tippla</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Where to see it</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/progress/whats-next, a bill on /calendar, /assistant</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What's built</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General-information wording throughout; no providers named; the assistant shows a general-information note.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Question to answer</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Is any output personal advice? Is the general-advice wording enough?</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Recommendation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Approve with the current wording, provided counsel is comfortable with the general-information note.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Approved?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Yes  /  Yes, with conditions  /  No</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Conditions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Signed off by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bl>
    <w:p>
      <w:pPr>
        <w:spacing w:after="160"/>
      </w:pPr>
    </w:p>
    <w:p>
      <w:pPr>
        <w:pStyle w:val="Heading2"/>
        <w:keepNext/>
      </w:pPr>
      <w:r>
        <w:t xml:space="preserve">G3 CDR and privacy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Covers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Sharing corrections, entitlement answers, assistant logs, analytics consent, the credit file prototype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Where to see it</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Account › Profile › Usage data, /help/entitlements, /dev/analytics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What's built</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Minimal data; answers kept only with consent; no text in assistant logs; analytics pseudonymous.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Question to answer</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Is this within existing consents? What are the retention periods? How are gambling inferences handled?</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Recommendation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Decide Q23 and the retention periods (section 4), then approve. Keep corrections sharing off until the privacy notice covers it.</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Approved?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Yes  /  Yes, with conditions  /  No</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Conditions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Signed off by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bl>
    <w:p>
      <w:pPr>
        <w:spacing w:after="160"/>
      </w:pPr>
    </w:p>
    <w:p>
      <w:pPr>
        <w:pStyle w:val="Heading2"/>
        <w:keepNext/>
      </w:pPr>
      <w:r>
        <w:t xml:space="preserve">G4 Referrals and commercial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Covers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Bill comparison, credit file, cheaper-credit check</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Where to see it</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A bill on /calendar, /progress/credit-file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What's built</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Neutral, non-commercial links only.</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Question to answer</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Would any referral need disclosure, and does it conflict with "helped, not sold to"?</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Recommendation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Approve the neutral links as they are. Any referral or commission deal comes back for a new sign-off.</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Approved?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Yes  /  Yes, with conditions  /  No</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Conditions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Signed off by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bl>
    <w:p>
      <w:pPr>
        <w:spacing w:after="160"/>
      </w:pPr>
    </w:p>
    <w:p>
      <w:pPr>
        <w:pStyle w:val="Heading2"/>
        <w:keepNext/>
      </w:pPr>
      <w:r>
        <w:t xml:space="preserve">G5 Marketing and communications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Covers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"Tippla saved you $X" claims, notifications, emails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Where to see it</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Today (the value tally), Account › Profile › Notifications, /dev/outbox</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What's built</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Only bank-confirmed savings are counted, fees at 50%; self-reported savings kept separate; one-click unsubscribe.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Question to answer</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Are the savings claims backed up? Is email and notification consent compliant with the Spam Act?</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Recommendation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Approve, with someone checking the tally maths against three real-looking cases.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Approved?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Yes  /  Yes, with conditions  /  No</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Conditions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Signed off by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bl>
    <w:p>
      <w:pPr>
        <w:spacing w:after="160"/>
      </w:pPr>
    </w:p>
    <w:p>
      <w:pPr>
        <w:pStyle w:val="Heading2"/>
        <w:keepNext/>
      </w:pPr>
      <w:r>
        <w:t xml:space="preserve">G6 Vulnerable consumers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Covers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Hardship letter, Ask Tippla, gambling features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Where to see it</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/hardship, /assistant (try "I can't cope"), Account › Profile › gambling insights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What's built</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Distress leads with support (National Debt Helpline, Lifeline); gambling insights can be turned off and never appear on lock screens.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Question to answer</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Does this meet ASIC's expectations? Is the hardship pathway adequate?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Recommendation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Have someone with financial counselling or vulnerability experience review the hardship letter and the assistant's distress answers before approval.</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Approved?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Yes  /  Yes, with conditions  /  No</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Conditions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Signed off by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bl>
    <w:p>
      <w:pPr>
        <w:spacing w:after="160"/>
      </w:pPr>
    </w:p>
    <w:p>
      <w:pPr>
        <w:pStyle w:val="Heading2"/>
        <w:keepNext/>
      </w:pPr>
      <w:r>
        <w:t xml:space="preserve">G7 Billing practices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Covers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Charging Tippla's fee on payday</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Where to see it</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Account › Subscription</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What's built</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Built; deferral, retry and pause copy ready for review.</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Question to answer</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Are deferral, retry and pause fair and clearly disclosed?</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Recommendation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Approve the approach; review the copy when the payment provider is chosen.</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Approved?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Yes  /  Yes, with conditions  /  No</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Conditions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Signed off by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bl>
    <w:p>
      <w:pPr>
        <w:spacing w:after="160"/>
      </w:pPr>
    </w:p>
    <w:p>
      <w:pPr>
        <w:pStyle w:val="Heading1"/>
        <w:pageBreakBefore/>
      </w:pPr>
      <w:r>
        <w:t xml:space="preserve">3. Open questions</w:t>
      </w:r>
    </w:p>
    <w:p>
      <w:pPr>
        <w:spacing w:after="120" w:before="200"/>
      </w:pPr>
      <w:r>
        <w:rPr>
          <w:b/>
          <w:bCs/>
          <w:color w:val="1F5C4D"/>
          <w:sz w:val="26"/>
          <w:szCs w:val="26"/>
        </w:rPr>
        <w:t xml:space="preserve">High priority</w:t>
      </w:r>
    </w:p>
    <w:p>
      <w:pPr>
        <w:pStyle w:val="Heading2"/>
        <w:keepNext/>
      </w:pPr>
      <w:r>
        <w:t xml:space="preserve">Q8 Does using hardship options affect the SmartScore or lender matching?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Owner</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Legal / TaleFin</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Priority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High: before real members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The question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If a member asks a lender for hardship help, does that lower their SmartScore or stop lenders matching them?</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does now</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The app tells members twice that using hardship options "doesn't count against your SmartScore": on the Hardship support page and in Ask Tippla's hardship answer. That has not been confirmed.</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Recommendation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Get written confirmation from TaleFin before real members see it. If TaleFin can't confirm, remove both sentences (a one-line copy change each).</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If you choose differently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If hardship arrangements do affect the score, the copy must say so plainly, and the hardship pathway copy needs a vulnerable-consumer review (gate G6).</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Decision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Decided by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bl>
    <w:p>
      <w:pPr>
        <w:spacing w:after="160"/>
      </w:pPr>
    </w:p>
    <w:p>
      <w:pPr>
        <w:pStyle w:val="Heading2"/>
        <w:keepNext/>
      </w:pPr>
      <w:r>
        <w:t xml:space="preserve">Q43 When are lender offers paused?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Owner</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Legal</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Priority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High: before real members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The question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Offers are hidden when showing them could push someone towards borrowing at a bad moment. Are these the right triggers?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does now</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Offers are hidden while the member is forecast to run short before payday, has used hardship support this pay cycle (opened the page, chose an option, or made a letter), or is in the Building stage (score under 450). Just opening the Hardship page pauses offers for that pay cycle.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Recommendation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Keep all three triggers, including pausing on just opening the Hardship page. It errs on the side of the member, which fits "helped, not sold to". Ask counsel to confirm.</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If you choose differently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Narrowing it (for example only when a hardship option is chosen) shows offers to more people; the compliance tests and their wording would be updated to match.</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Decision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Decided by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bl>
    <w:p>
      <w:pPr>
        <w:spacing w:after="160"/>
      </w:pPr>
    </w:p>
    <w:p>
      <w:pPr>
        <w:pStyle w:val="Heading2"/>
        <w:keepNext/>
      </w:pPr>
      <w:r>
        <w:t xml:space="preserve">Q23 Is usage analytics on by default?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Owner</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Legal</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Priority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High: before real members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The question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Can we record how people use the app unless they switch it off, or do we need them to opt in?</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does now</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On by default, with an off switch in Account › Profile › Usage data. Nothing is stored when off. Records are pseudonymous, amounts are in ranges, no free text, and no merchant names for gambling or alcohol.</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Recommendation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Keep default-on only if counsel agrees it fits the Australian Privacy Principles and the existing CDR consents, and the privacy notice says so. Otherwise ask during onboarding (one screen, unticked).</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If you choose differently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Opt-in means fewer records and less reliable dashboards; the switch already exists, so it's a default change plus one onboarding screen.</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Decision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Decided by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bl>
    <w:p>
      <w:pPr>
        <w:spacing w:after="160"/>
      </w:pPr>
    </w:p>
    <w:p>
      <w:pPr>
        <w:pStyle w:val="Heading2"/>
        <w:keepNext/>
      </w:pPr>
      <w:r>
        <w:t xml:space="preserve">Q40 Ask Tippla: is it ready for real members?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Owner</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Product / Compliance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Priority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High: before real members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The question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The assistant answers questions from the member's own figures. What must be true before real members use it?</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does now</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Two modes: scripted answers (no AI) by default, and Claude when an API key is set. Distress messages never go to the AI. The full test set of questions passes in scripted mode.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Recommendation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Launch with scripted answers only. Switch on the AI version after (1) the live test set passes the spec 08 thresholds and (2) a person reviews a sample of logged answers for tone and scores them at least 4 out of 5.</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If you choose differently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Switching on the AI without those checks risks answers that read as advice; gates G1, G2 and G6 apply either way.</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Decision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Decided by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bl>
    <w:p>
      <w:pPr>
        <w:spacing w:after="160"/>
      </w:pPr>
    </w:p>
    <w:p>
      <w:pPr>
        <w:pStyle w:val="Heading2"/>
        <w:keepNext/>
      </w:pPr>
      <w:r>
        <w:t xml:space="preserve">Q41 How long are assistant logs kept?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Owner</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Legal</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Priority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High: before real members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The question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Ask Tippla keeps a log of each answer (what kind of question, which tools, whether a check fired, the rating). How long should we keep it?</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does now</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No question or answer text is stored, only the kind of question, tools used, check results and rating, against a pseudonymous member id. No retention period is set yet.</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Recommendation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90 days, then delete. Don't store question text; if quality review needs it later, ask for consent first.</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If you choose differently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A longer period needs a stated reason in the privacy notice.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Decision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Decided by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bl>
    <w:p>
      <w:pPr>
        <w:spacing w:after="160"/>
      </w:pPr>
    </w:p>
    <w:p>
      <w:pPr>
        <w:pStyle w:val="Heading2"/>
        <w:keepNext/>
      </w:pPr>
      <w:r>
        <w:t xml:space="preserve">Q11 What can go in a lender package?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Owner</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Legal</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Priority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High: before real members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The question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When a member asks to be matched with lenders, which of their details may we send?</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does now</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Nothing marked NEVER_DISPLAY (sensitive flags such as insolvency or Public Trustee) is ever sent. LENDER_ONLY fields go only with the member's consent.</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Recommendation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Confirm as is.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If you choose differently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Any change means updating the field allowlist in src/lib/dataUse.ts; the test that proves sensitive fields never appear stays.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Decision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Decided by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bl>
    <w:p>
      <w:pPr>
        <w:spacing w:after="160"/>
      </w:pPr>
    </w:p>
    <w:p>
      <w:pPr>
        <w:pStyle w:val="Heading2"/>
        <w:keepNext/>
      </w:pPr>
      <w:r>
        <w:t xml:space="preserve">Q14 Licensing for offers and referrals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Owner</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Legal</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Priority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High: before real members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The question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Does showing lender offers, or charging a subscription while doing so, need a credit licence or disclosure?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does now</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Offers are informational only. There's no "priority matching" wording for Pro members.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Recommendation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Keep offers informational and switched off for real members until counsel answers this together with gate G1.</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If you choose differently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If a licence or authorisation is needed, offers stay off until it's in place.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Decision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Decided by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bl>
    <w:p>
      <w:pPr>
        <w:spacing w:after="160"/>
      </w:pPr>
    </w:p>
    <w:p>
      <w:pPr>
        <w:pStyle w:val="Heading2"/>
        <w:keepNext/>
      </w:pPr>
      <w:r>
        <w:t xml:space="preserve">Q10 How often bank data refreshes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Owner</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TaleFin / Commercial</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Priority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High: before real members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The question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How often do we pull new bank data, and what does each pull cost?</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does now</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The demo refreshes fortnightly. Note: the app marks data as out of date after 48 hours and pauses safe to spend after a longer gap.</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Recommendation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Agree a cadence with TaleFin, at least daily if the cost allows. Then set the out-of-date threshold to match.</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If you choose differently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If refreshes are only fortnightly, the out-of-date warning would show most of the time; the threshold in src/config/flags.ts must change with it.</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Decision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Decided by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bl>
    <w:p>
      <w:pPr>
        <w:spacing w:after="160"/>
      </w:pPr>
    </w:p>
    <w:p>
      <w:pPr>
        <w:pStyle w:val="Heading2"/>
        <w:keepNext/>
      </w:pPr>
      <w:r>
        <w:t xml:space="preserve">Q35 Directory entries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Owner</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Operations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Priority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High: before real members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The question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Are the lender hardship contacts, cancellation steps and official links correct?</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does now</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All marked never verified; contacts left empty rather than guessed.</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Recommendation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Use the fact-check sheet that comes with this document, then record the dates in src/data/directories.ts.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If you choose differently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Decision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Decided by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bl>
    <w:p>
      <w:pPr>
        <w:spacing w:after="160"/>
      </w:pPr>
    </w:p>
    <w:p>
      <w:pPr>
        <w:pStyle w:val="Heading2"/>
        <w:keepNext/>
      </w:pPr>
      <w:r>
        <w:t xml:space="preserve">Q36 Entitlements answers and the hardship letter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Owner</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Legal</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Priority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High: before real members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The question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Is the hardship letter's wording right, and is storing entitlement answers OK? (gates G3 and G6)</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does now</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Answers stored only if the member ticks "Remember my answers" (off by default). The letter mentions the member's rights under credit law and a follow-up; "lenders usually reply within 21 days" is general wording.</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Recommendation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Counsel and a vulnerable-consumer reviewer to read the letter and follow-up wording before it's switched on.</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If you choose differently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Decision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Decided by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bl>
    <w:p>
      <w:pPr>
        <w:spacing w:after="160"/>
      </w:pPr>
    </w:p>
    <w:p>
      <w:pPr>
        <w:pStyle w:val="Heading2"/>
        <w:keepNext/>
      </w:pPr>
      <w:r>
        <w:t xml:space="preserve">Q42 Crisis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Owner</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Operations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Priority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High: before real members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The question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Is the crisis support number and wording right?</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does now</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Lifeline 13 11 14 alongside the National Debt Helpline.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Recommendation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Confirm using the fact-check sheet.</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If you choose differently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Decision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Decided by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bl>
    <w:p>
      <w:pPr>
        <w:spacing w:after="160"/>
      </w:pPr>
    </w:p>
    <w:p>
      <w:pPr>
        <w:spacing w:after="120" w:before="200"/>
      </w:pPr>
      <w:r>
        <w:rPr>
          <w:b/>
          <w:bCs/>
          <w:color w:val="1F5C4D"/>
          <w:sz w:val="26"/>
          <w:szCs w:val="26"/>
        </w:rPr>
        <w:t xml:space="preserve">Medium priority</w:t>
      </w:r>
    </w:p>
    <w:p>
      <w:pPr>
        <w:pStyle w:val="Heading2"/>
        <w:keepNext/>
      </w:pPr>
      <w:r>
        <w:t xml:space="preserve">Q1 Should the SmartScore use credit bureau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Owner</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Legal</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Priority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Medium: before that feature is switched on</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The question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Should the score include credit file data as well as bank statements?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does now</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Bank statements only.</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Recommendation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Keep bank statements only for launch. Revisit with a bureau partner later (see Q39).</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If you choose differently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Using bureau data brings Privacy Act Part IIIA obligations, new consent wording, and limits on using it for marketing.</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Decision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Decided by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bl>
    <w:p>
      <w:pPr>
        <w:spacing w:after="160"/>
      </w:pPr>
    </w:p>
    <w:p>
      <w:pPr>
        <w:pStyle w:val="Heading2"/>
        <w:keepNext/>
      </w:pPr>
      <w:r>
        <w:t xml:space="preserve">Q2 Score factor definitions and weights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Owner</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TaleFin</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Priority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Medium: before that feature is switched on</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The question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What exactly does each of the nine score factors measure, and how much does each count?</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does now</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Uses the factor descriptions in docs/05; the top three to work on are the lowest-scoring factors a member can act on.</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Recommendation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Ask TaleFin for the definitions in writing. Keep the current wording until then.</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If you choose differently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If TaleFin's definitions differ, update the factor copy in src/content (no logic change).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Decision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Decided by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bl>
    <w:p>
      <w:pPr>
        <w:spacing w:after="160"/>
      </w:pPr>
    </w:p>
    <w:p>
      <w:pPr>
        <w:pStyle w:val="Heading2"/>
        <w:keepNext/>
      </w:pPr>
      <w:r>
        <w:t xml:space="preserve">Q3 Can we show score projections ("do X, gain about N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Owner</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TaleFin</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Priority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Medium: before that feature is switched on</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The question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Can the app estimate how many points a change would add?</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does now</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The app shows dollar impacts. A score projection (clearly labelled as an estimate) exists behind its own switch.</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Recommendation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Only show point estimates if TaleFin provides weights or a simulation service. Until then, keep the projection switched off for real members and show dollar impacts.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If you choose differently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Without TaleFin's input, projections are guesses and could mislead.</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Decision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Decided by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bl>
    <w:p>
      <w:pPr>
        <w:spacing w:after="160"/>
      </w:pPr>
    </w:p>
    <w:p>
      <w:pPr>
        <w:pStyle w:val="Heading2"/>
        <w:keepNext/>
      </w:pPr>
      <w:r>
        <w:t xml:space="preserve">Q4 Stage boundaries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Owner</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Product</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Priority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Medium: before that feature is switched on</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The question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Where do the stages start and end?</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does now</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Building 0–449, Steadying 450–599, Healthy 600–749, Thriving 750–1,000 (src/config/stages.ts).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Recommendation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Keep, but check against TaleFin's own bands. Note Building (under 450) also pauses offers (Q43).</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If you choose differently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Changing the 450 line also changes who sees offers.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Decision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Decided by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bl>
    <w:p>
      <w:pPr>
        <w:spacing w:after="160"/>
      </w:pPr>
    </w:p>
    <w:p>
      <w:pPr>
        <w:pStyle w:val="Heading2"/>
        <w:keepNext/>
      </w:pPr>
      <w:r>
        <w:t xml:space="preserve">Q6 Peer comparisons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Owner</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Product / Data</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Priority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Medium: before that feature is switched on</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The question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Can we compare a member's spending with people like them, and from what data?</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does now</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Uses made-up ranges labelled "Sample cohort data". No rankings.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Recommendation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Hide comparisons for real members until there is real data with at least 100 people per group. Never show rankings.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If you choose differently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Showing sample data to real members would be misleading.</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Decision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Decided by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bl>
    <w:p>
      <w:pPr>
        <w:spacing w:after="160"/>
      </w:pPr>
    </w:p>
    <w:p>
      <w:pPr>
        <w:pStyle w:val="Heading2"/>
        <w:keepNext/>
      </w:pPr>
      <w:r>
        <w:t xml:space="preserve">Q9 Standard vs Pro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Owner</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Commercial</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Priority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Medium: before that feature is switched on</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The question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What does Pro include that Standard doesn't?</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does now</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Pro gets faster refresh, longer history and extra calculator scenarios.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Recommendation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Commercial call. Keep anything to do with hardship, safety or offers pausing the same for both tiers.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If you choose differently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Changes are a feature-flag mapping.</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Decision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Decided by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bl>
    <w:p>
      <w:pPr>
        <w:spacing w:after="160"/>
      </w:pPr>
    </w:p>
    <w:p>
      <w:pPr>
        <w:pStyle w:val="Heading2"/>
        <w:keepNext/>
      </w:pPr>
      <w:r>
        <w:t xml:space="preserve">Q12 Transaction format and categories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Owner</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TaleFin</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Priority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Medium: before that feature is switched on</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The question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What's the exact transaction format and the full category list?</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does now</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Uses Tippla's own categories; only two TaleFin category ids are confirmed.</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Recommendation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Get the full schema from TaleFin before connecting real data.</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If you choose differently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The mock layer maps categories in one place, so the screens don't change.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Decision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Decided by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bl>
    <w:p>
      <w:pPr>
        <w:spacing w:after="160"/>
      </w:pPr>
    </w:p>
    <w:p>
      <w:pPr>
        <w:pStyle w:val="Heading2"/>
        <w:keepNext/>
      </w:pPr>
      <w:r>
        <w:t xml:space="preserve">Q13 Where consents are collected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Owner</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Legal / Product</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Priority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Medium: before that feature is switched on</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The question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Are consents taken on Friendly Finance's form or in Tippla's onboarding?</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does now</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In Tippla's onboarding, unticked by default.</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Recommendation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Keep.</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If you choose differently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Decision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Decided by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bl>
    <w:p>
      <w:pPr>
        <w:spacing w:after="160"/>
      </w:pPr>
    </w:p>
    <w:p>
      <w:pPr>
        <w:pStyle w:val="Heading2"/>
        <w:keepNext/>
      </w:pPr>
      <w:r>
        <w:t xml:space="preserve">Q15 Visual design and brand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Owner</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Design (Astra)</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Priority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Medium: before that feature is switched on</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The question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When will the final visual design and brand tokens arrive?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does now</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Neutral placeholder tokens.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Recommendation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Get the tokens from Astra; dropping them into design/tokens.json restyles the app.</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If you choose differently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Decision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Decided by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bl>
    <w:p>
      <w:pPr>
        <w:spacing w:after="160"/>
      </w:pPr>
    </w:p>
    <w:p>
      <w:pPr>
        <w:pStyle w:val="Heading2"/>
        <w:keepNext/>
      </w:pPr>
      <w:r>
        <w:t xml:space="preserve">Q16 Naming sensitive income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Owner</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Legal</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Priority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Medium: before that feature is switched on</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The question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Can we name income such as Child Support or WorkCover to the member?</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does now</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Shown as "Other regular income", never by its label.</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Recommendation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Keep.</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If you choose differently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Decision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Decided by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bl>
    <w:p>
      <w:pPr>
        <w:spacing w:after="160"/>
      </w:pPr>
    </w:p>
    <w:p>
      <w:pPr>
        <w:pStyle w:val="Heading2"/>
        <w:keepNext/>
      </w:pPr>
      <w:r>
        <w:t xml:space="preserve">Q25 Charging Tippla's fee on payday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Owner</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Product / Legal</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Priority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Medium: before that feature is switched on</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The question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Is the payday billing approach fair and clearly explained? (gate G7)</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does now</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Charge the day after payday; defer if it would cause a shortfall; prorate the first move; retry only after the next two paydays.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Recommendation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Approve the approach under G7. When a payment provider is chosen, map it to the provider's billing anchor and pause features.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If you choose differently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Decision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Decided by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bl>
    <w:p>
      <w:pPr>
        <w:spacing w:after="160"/>
      </w:pPr>
    </w:p>
    <w:p>
      <w:pPr>
        <w:pStyle w:val="Heading2"/>
        <w:keepNext/>
      </w:pPr>
      <w:r>
        <w:t xml:space="preserve">Q27 When to flag a new subscription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Owner</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Product</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Priority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Medium: before that feature is switched on</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The question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Flag a new subscription after one charge, or wait for a second matching charge as spec 01 asks?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does now</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Flags after one recurring-looking charge, so the demo totals stay the same.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Recommendation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Switch to the spec 01 rule (wait for a second charge) before real members: fewer false alarms. I can make the change and update the demo data.</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If you choose differently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Staying with one charge flags new subscriptions sooner, but with more false alarms.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Decision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Decided by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bl>
    <w:p>
      <w:pPr>
        <w:spacing w:after="160"/>
      </w:pPr>
    </w:p>
    <w:p>
      <w:pPr>
        <w:pStyle w:val="Heading2"/>
        <w:keepNext/>
      </w:pPr>
      <w:r>
        <w:t xml:space="preserve">Q30 Where goals live; the first-week nudge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Owner</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Product / Engineering</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Priority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Medium: before that feature is switched on</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The question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Goals are stored in a browser cookie. Where should they live?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does now</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Cookie in the demo. The day 2–3 nudge goes only if the member hasn't opened Tippla in 24 hours, and through the normal limits.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Recommendation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Move goals into the database as part of the real-accounts work. Keep the nudge rules.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If you choose differently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Decision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Decided by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bl>
    <w:p>
      <w:pPr>
        <w:spacing w:after="160"/>
      </w:pPr>
    </w:p>
    <w:p>
      <w:pPr>
        <w:pStyle w:val="Heading2"/>
        <w:keepNext/>
      </w:pPr>
      <w:r>
        <w:t xml:space="preserve">Q32 Corrections and the TaleFin Score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Owner</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Product / TaleFin</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Priority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Medium: before that feature is switched on</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The question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When a member corrects something, can we tell TaleFin?</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does now</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Corrections change Tippla's figures straight away; the TaleFin Score changes only at the next refresh.</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Recommendation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Ask TaleFin whether a corrections API exists. Keep the "may take until the next refresh" wording until then.</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If you choose differently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Decision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Decided by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bl>
    <w:p>
      <w:pPr>
        <w:spacing w:after="160"/>
      </w:pPr>
    </w:p>
    <w:p>
      <w:pPr>
        <w:pStyle w:val="Heading2"/>
        <w:keepNext/>
      </w:pPr>
      <w:r>
        <w:t xml:space="preserve">Q33 Sharing anonymised corrections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Owner</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Engineering / Legal</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Priority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Medium: before that feature is switched on</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The question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May we pool anonymised corrections to improve detection for everyone? (gate G3)</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does now</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Built but switched off. Anonymised reports only, with usage-data consent, and never about gambling or alcohol.</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Recommendation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Keep off until G3 is signed off and the privacy notice has a line about it.</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If you choose differently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Decision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Decided by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bl>
    <w:p>
      <w:pPr>
        <w:spacing w:after="160"/>
      </w:pPr>
    </w:p>
    <w:p>
      <w:pPr>
        <w:pStyle w:val="Heading2"/>
        <w:keepNext/>
      </w:pPr>
      <w:r>
        <w:t xml:space="preserve">Q34 Bill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Owner</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Product / Compliance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Priority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Medium: before that feature is switched on</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The question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Should we name providers or show prices when suggesting a cheaper bill?</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does now</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General pointers only (Energy Made Easy, plain tips). No providers named.</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Recommendation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Keep general pointers. Naming providers or any referral deal needs gates G2 and G4.</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If you choose differently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Decision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Decided by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bl>
    <w:p>
      <w:pPr>
        <w:spacing w:after="160"/>
      </w:pPr>
    </w:p>
    <w:p>
      <w:pPr>
        <w:pStyle w:val="Heading2"/>
        <w:keepNext/>
      </w:pPr>
      <w:r>
        <w:t xml:space="preserve">Q37 Plan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Owner</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Product / Compliance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Priority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Medium: before that feature is switched on</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The question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Are the plan steps and their wording right? (gate G2)</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does now</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Example: pay advances $150, then $75, then none. Some steps are self-marked because past safe-to-spend figures can't be rebuilt.</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Recommendation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Approve as general steps, not personal advice, under G2.</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If you choose differently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Decision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Decided by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bl>
    <w:p>
      <w:pPr>
        <w:spacing w:after="160"/>
      </w:pPr>
    </w:p>
    <w:p>
      <w:pPr>
        <w:pStyle w:val="Heading2"/>
        <w:keepNext/>
      </w:pPr>
      <w:r>
        <w:t xml:space="preserve">Q39 Credit file and cheaper-credit check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Owner</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Legal / Commercial</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Priority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Medium: before that feature is switched on</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The question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Should we build these beyond the prototypes? (gates G1, G3, G4)</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does now</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Design prototypes only: no bureau partner, no real data, no lenders.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Recommendation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Keep as prototypes. Building further needs a bureau agreement, consent design and licensing advice.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If you choose differently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Decision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Decided by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bl>
    <w:p>
      <w:pPr>
        <w:spacing w:after="160"/>
      </w:pPr>
    </w:p>
    <w:p>
      <w:pPr>
        <w:spacing w:after="120" w:before="200"/>
      </w:pPr>
      <w:r>
        <w:rPr>
          <w:b/>
          <w:bCs/>
          <w:color w:val="1F5C4D"/>
          <w:sz w:val="26"/>
          <w:szCs w:val="26"/>
        </w:rPr>
        <w:t xml:space="preserve">Low priority</w:t>
      </w:r>
    </w:p>
    <w:p>
      <w:pPr>
        <w:pStyle w:val="Heading2"/>
        <w:keepNext/>
      </w:pPr>
      <w:r>
        <w:t xml:space="preserve">Q5 Gambling: gross or net?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Owner</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TaleFin</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Priority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Low: tune later or no action</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The question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Can we show money won back, or only money sent to gambling?</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does now</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Shows gross money sent to gambling.</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Recommendation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Keep gross, with plain wording. Ask TaleFin whether a net figure exists.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If you choose differently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A net figure could understate harm, so it would need careful wording (gate G6).</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Decision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Decided by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bl>
    <w:p>
      <w:pPr>
        <w:spacing w:after="160"/>
      </w:pPr>
    </w:p>
    <w:p>
      <w:pPr>
        <w:pStyle w:val="Heading2"/>
        <w:keepNext/>
      </w:pPr>
      <w:r>
        <w:t xml:space="preserve">Q7 Loan rate and term for the repayment calculator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Owner</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Product</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Priority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Low: tune later or no action</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The question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Where do the rate and remaining term come from?</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does now</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The member enters them; estimates are pre-filled.</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Recommendation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Keep, and label the pre-filled figures as estimates.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If you choose differently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Decision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Decided by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bl>
    <w:p>
      <w:pPr>
        <w:spacing w:after="160"/>
      </w:pPr>
    </w:p>
    <w:p>
      <w:pPr>
        <w:pStyle w:val="Heading2"/>
        <w:keepNext/>
      </w:pPr>
      <w:r>
        <w:t xml:space="preserve">Q21 Thresholds for safe to spend, notifications and savings claims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Owner</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Product</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Priority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Low: tune later or no action</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The question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Are the default numbers right?</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does now</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Buffer $0 (member can set $25/$50/$100). Notifications: 1 a day and 3 a week, plus 1 urgent a day; quiet 9pm–8am. Shortfall notice 5 days ahead. Fees counted at 50% when claiming savings.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Recommendation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Keep for launch; review after four weeks of analytics.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If you choose differently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All are in configuration; no code change.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Decision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Decided by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bl>
    <w:p>
      <w:pPr>
        <w:spacing w:after="160"/>
      </w:pPr>
    </w:p>
    <w:p>
      <w:pPr>
        <w:pStyle w:val="Heading2"/>
        <w:keepNext/>
      </w:pPr>
      <w:r>
        <w:t xml:space="preserve">Q22 How savings goals build 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Owner</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Product</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Priority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Low: tune later or no action</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The question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How does a buffer goal grow, and how is progress measured?</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does now</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Even steps each pay cycle; a step waits if it would leave nothing to spend; progress is the balance the day before payday.</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Recommendation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Keep.</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If you choose differently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Decision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Decided by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bl>
    <w:p>
      <w:pPr>
        <w:spacing w:after="160"/>
      </w:pPr>
    </w:p>
    <w:p>
      <w:pPr>
        <w:pStyle w:val="Heading2"/>
        <w:keepNext/>
      </w:pPr>
      <w:r>
        <w:t xml:space="preserve">Q24 Where analytics lives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Owner</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Product</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Priority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Low: tune later or no action</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The question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Do we keep analytics in our own database or use a tool like PostHog?</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does now</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Our own Postgres table (now on Railway) with dashboards at /dev/analytics.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Recommendation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Keep for now. Add PostHog later only if the team needs more than the dashboards.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If you choose differently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Decision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Decided by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bl>
    <w:p>
      <w:pPr>
        <w:spacing w:after="160"/>
      </w:pPr>
    </w:p>
    <w:p>
      <w:pPr>
        <w:pStyle w:val="Heading2"/>
        <w:keepNext/>
      </w:pPr>
      <w:r>
        <w:t xml:space="preserve">Q26 Feed ranking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Owner</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Product</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Priority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Low: tune later or no action</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The question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How are cards on Today ordered?</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does now</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By urgency and the amount at stake; a dismissed card comes back if its amount changes by more than 20%.</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Recommendation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Keep as sample logic; tune with feed analytics.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If you choose differently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Decision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Decided by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bl>
    <w:p>
      <w:pPr>
        <w:spacing w:after="160"/>
      </w:pPr>
    </w:p>
    <w:p>
      <w:pPr>
        <w:pStyle w:val="Heading2"/>
        <w:keepNext/>
      </w:pPr>
      <w:r>
        <w:t xml:space="preserve">Q28 Consent-expiring reconnect card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Owner</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Product</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Priority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Low: tune later or no action</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The question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Should the bank reconnect card warn before consent expires?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does now</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Built in spec 05: the card now warns 14 days ahead, and reminders go out 14, 3 and 0 days before.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Recommendation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Close: already done.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If you choose differently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Decision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Decided by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bl>
    <w:p>
      <w:pPr>
        <w:spacing w:after="160"/>
      </w:pPr>
    </w:p>
    <w:p>
      <w:pPr>
        <w:pStyle w:val="Heading2"/>
        <w:keepNext/>
      </w:pPr>
      <w:r>
        <w:t xml:space="preserve">Q29 Which first insight a new member sees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Owner</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Product</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Priority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Low: tune later or no action</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The question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In what order should the app pick the first insight?</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does now</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Shortfall, then 3+ subscriptions, then pay advance fees, then the strongest non-sensitive score factor.</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Recommendation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Keep; tune with the aha_priority experiment on /dev/analytics.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If you choose differently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Decision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Decided by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bl>
    <w:p>
      <w:pPr>
        <w:spacing w:after="160"/>
      </w:pPr>
    </w:p>
    <w:p>
      <w:pPr>
        <w:pStyle w:val="Heading2"/>
        <w:keepNext/>
      </w:pPr>
      <w:r>
        <w:t xml:space="preserve">Q31 Forecast accuracy measure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Owner</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Product / Data</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Priority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Low: tune later or no action</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The question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How do we judge whether the balance forecast is good enough to show members?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does now</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A forecast counts as close if within $20; the member-facing accuracy line shows at 8 of the last 10 within $20; badly wrong is over $100 or 30%.</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Recommendation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Keep.</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If you choose differently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Decision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Decided by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bl>
    <w:p>
      <w:pPr>
        <w:spacing w:after="160"/>
      </w:pPr>
    </w:p>
    <w:p>
      <w:pPr>
        <w:pStyle w:val="Heading2"/>
        <w:keepNext/>
      </w:pPr>
      <w:r>
        <w:t xml:space="preserve">Q38 The "improved" demo state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Owner</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Engineering</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Priority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Low: tune later or no action</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The question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The demo's "improved" state only replays score history.</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does now</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Score climbs to 604; factors and transactions don't change.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Recommendation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No decision needed for launch; it's demo-only.</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If you choose differently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Decision</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Decided by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bl>
    <w:p>
      <w:pPr>
        <w:spacing w:after="160"/>
      </w:pPr>
    </w:p>
    <w:p>
      <w:pPr>
        <w:pStyle w:val="Heading1"/>
        <w:pageBreakBefore/>
      </w:pPr>
      <w:r>
        <w:t xml:space="preserve">4. Retention periods</w:t>
      </w:r>
    </w:p>
    <w:p>
      <w:pPr>
        <w:spacing w:after="120"/>
      </w:pPr>
      <w:r>
        <w:rPr>
          <w:sz w:val="20"/>
          <w:szCs w:val="20"/>
        </w:rPr>
        <w:t xml:space="preserve">How long each kind of stored record is kept before deletion. These are suggested starting points for whoever owns privacy; once agreed, I'll add scheduled deletion and a line in the privacy notice.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26"/>
        <w:gridCol w:w="1600"/>
      </w:tblGrid>
      <w:tr>
        <w:trPr>
          <w:tblHeader/>
        </w:trPr>
        <w:tc>
          <w:tcPr>
            <w:tcW w:type="dxa" w:w="2200"/>
            <w:tcBorders>
              <w:top w:val="single" w:color="C9D1D6" w:sz="4"/>
              <w:left w:val="single" w:color="C9D1D6" w:sz="4"/>
              <w:bottom w:val="single" w:color="C9D1D6" w:sz="4"/>
              <w:right w:val="single" w:color="C9D1D6" w:sz="4"/>
            </w:tcBorders>
            <w:shd w:fill="E6EFEC" w:color="auto" w:val="clear"/>
            <w:tcMar>
              <w:top w:type="dxa" w:w="70"/>
              <w:left w:type="dxa" w:w="110"/>
              <w:bottom w:type="dxa" w:w="70"/>
              <w:right w:type="dxa" w:w="110"/>
            </w:tcMar>
          </w:tcPr>
          <w:p>
            <w:pPr>
              <w:spacing w:after="40"/>
            </w:pPr>
            <w:r>
              <w:rPr>
                <w:b/>
                <w:bCs/>
                <w:sz w:val="19"/>
                <w:szCs w:val="19"/>
              </w:rPr>
              <w:t xml:space="preserve">Record</w:t>
            </w:r>
          </w:p>
        </w:tc>
        <w:tc>
          <w:tcPr>
            <w:tcW w:type="dxa" w:w="3000"/>
            <w:tcBorders>
              <w:top w:val="single" w:color="C9D1D6" w:sz="4"/>
              <w:left w:val="single" w:color="C9D1D6" w:sz="4"/>
              <w:bottom w:val="single" w:color="C9D1D6" w:sz="4"/>
              <w:right w:val="single" w:color="C9D1D6" w:sz="4"/>
            </w:tcBorders>
            <w:shd w:fill="E6EFEC" w:color="auto" w:val="clear"/>
            <w:tcMar>
              <w:top w:type="dxa" w:w="70"/>
              <w:left w:type="dxa" w:w="110"/>
              <w:bottom w:type="dxa" w:w="70"/>
              <w:right w:type="dxa" w:w="110"/>
            </w:tcMar>
          </w:tcPr>
          <w:p>
            <w:pPr>
              <w:spacing w:after="40"/>
            </w:pPr>
            <w:r>
              <w:rPr>
                <w:b/>
                <w:bCs/>
                <w:sz w:val="19"/>
                <w:szCs w:val="19"/>
              </w:rPr>
              <w:t xml:space="preserve">What's in it</w:t>
            </w:r>
          </w:p>
        </w:tc>
        <w:tc>
          <w:tcPr>
            <w:tcW w:type="dxa" w:w="2226"/>
            <w:tcBorders>
              <w:top w:val="single" w:color="C9D1D6" w:sz="4"/>
              <w:left w:val="single" w:color="C9D1D6" w:sz="4"/>
              <w:bottom w:val="single" w:color="C9D1D6" w:sz="4"/>
              <w:right w:val="single" w:color="C9D1D6" w:sz="4"/>
            </w:tcBorders>
            <w:shd w:fill="E6EFEC" w:color="auto" w:val="clear"/>
            <w:tcMar>
              <w:top w:type="dxa" w:w="70"/>
              <w:left w:type="dxa" w:w="110"/>
              <w:bottom w:type="dxa" w:w="70"/>
              <w:right w:type="dxa" w:w="110"/>
            </w:tcMar>
          </w:tcPr>
          <w:p>
            <w:pPr>
              <w:spacing w:after="40"/>
            </w:pPr>
            <w:r>
              <w:rPr>
                <w:b/>
                <w:bCs/>
                <w:sz w:val="19"/>
                <w:szCs w:val="19"/>
              </w:rPr>
              <w:t xml:space="preserve">Suggested period</w:t>
            </w:r>
          </w:p>
        </w:tc>
        <w:tc>
          <w:tcPr>
            <w:tcW w:type="dxa" w:w="1600"/>
            <w:tcBorders>
              <w:top w:val="single" w:color="C9D1D6" w:sz="4"/>
              <w:left w:val="single" w:color="C9D1D6" w:sz="4"/>
              <w:bottom w:val="single" w:color="C9D1D6" w:sz="4"/>
              <w:right w:val="single" w:color="C9D1D6" w:sz="4"/>
            </w:tcBorders>
            <w:shd w:fill="E6EFEC" w:color="auto" w:val="clear"/>
            <w:tcMar>
              <w:top w:type="dxa" w:w="70"/>
              <w:left w:type="dxa" w:w="110"/>
              <w:bottom w:type="dxa" w:w="70"/>
              <w:right w:type="dxa" w:w="110"/>
            </w:tcMar>
          </w:tcPr>
          <w:p>
            <w:pPr>
              <w:spacing w:after="40"/>
            </w:pPr>
            <w:r>
              <w:rPr>
                <w:b/>
                <w:bCs/>
                <w:sz w:val="19"/>
                <w:szCs w:val="19"/>
              </w:rPr>
              <w:t xml:space="preserve">Agreed period</w:t>
            </w:r>
          </w:p>
        </w:tc>
      </w:tr>
      <w:tr>
        <w:trPr>
          <w:cantSplit/>
        </w:trPr>
        <w:tc>
          <w:tcPr>
            <w:tcW w:type="dxa" w:w="2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Usage analytics events</w:t>
            </w:r>
          </w:p>
        </w:tc>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Pseudonymous events, amounts in ranges</w:t>
            </w:r>
          </w:p>
        </w:tc>
        <w:tc>
          <w:tcPr>
            <w:tcW w:type="dxa" w:w="22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13 months (allows year-on-year comparison)</w:t>
            </w:r>
          </w:p>
        </w:tc>
        <w:tc>
          <w:tcPr>
            <w:tcW w:type="dxa" w:w="1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r>
        <w:trPr>
          <w:cantSplit/>
        </w:trPr>
        <w:tc>
          <w:tcPr>
            <w:tcW w:type="dxa" w:w="2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Ask Tippla logs</w:t>
            </w:r>
          </w:p>
        </w:tc>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Kind of question, tools, check results, rating; no text</w:t>
            </w:r>
          </w:p>
        </w:tc>
        <w:tc>
          <w:tcPr>
            <w:tcW w:type="dxa" w:w="22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90 days</w:t>
            </w:r>
          </w:p>
        </w:tc>
        <w:tc>
          <w:tcPr>
            <w:tcW w:type="dxa" w:w="1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r>
        <w:trPr>
          <w:cantSplit/>
        </w:trPr>
        <w:tc>
          <w:tcPr>
            <w:tcW w:type="dxa" w:w="2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Forecast snapshots</w:t>
            </w:r>
          </w:p>
        </w:tc>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Forecast balances for accuracy checks</w:t>
            </w:r>
          </w:p>
        </w:tc>
        <w:tc>
          <w:tcPr>
            <w:tcW w:type="dxa" w:w="22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90 days</w:t>
            </w:r>
          </w:p>
        </w:tc>
        <w:tc>
          <w:tcPr>
            <w:tcW w:type="dxa" w:w="1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r>
        <w:trPr>
          <w:cantSplit/>
        </w:trPr>
        <w:tc>
          <w:tcPr>
            <w:tcW w:type="dxa" w:w="2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Correction reports</w:t>
            </w:r>
          </w:p>
        </w:tc>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Anonymised: merchant and what changed; no member id or amounts</w:t>
            </w:r>
          </w:p>
        </w:tc>
        <w:tc>
          <w:tcPr>
            <w:tcW w:type="dxa" w:w="22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12 months</w:t>
            </w:r>
          </w:p>
        </w:tc>
        <w:tc>
          <w:tcPr>
            <w:tcW w:type="dxa" w:w="1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r>
        <w:trPr>
          <w:cantSplit/>
        </w:trPr>
        <w:tc>
          <w:tcPr>
            <w:tcW w:type="dxa" w:w="2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Notification and email records</w:t>
            </w:r>
          </w:p>
        </w:tc>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What was sent and when</w:t>
            </w:r>
          </w:p>
        </w:tc>
        <w:tc>
          <w:tcPr>
            <w:tcW w:type="dxa" w:w="22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12 months (needed for complaints and unsubscribe proof)</w:t>
            </w:r>
          </w:p>
        </w:tc>
        <w:tc>
          <w:tcPr>
            <w:tcW w:type="dxa" w:w="1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Agreed by</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tc>
      </w:tr>
    </w:tbl>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670"/>
        <w:sz w:val="16"/>
        <w:szCs w:val="16"/>
      </w:rPr>
      <w:t xml:space="preserve">Tippla decision sheet · page </w:t>
    </w:r>
    <w:r>
      <w:rPr>
        <w:color w:val="5B66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F5C4D"/>
      <w:sz w:val="44"/>
      <w:szCs w:val="44"/>
    </w:rPr>
  </w:style>
  <w:style w:type="paragraph" w:styleId="Heading1">
    <w:name w:val="Heading 1"/>
    <w:basedOn w:val="Normal"/>
    <w:next w:val="Normal"/>
    <w:qFormat/>
    <w:pPr>
      <w:spacing w:after="140" w:before="240"/>
      <w:outlineLvl w:val="0"/>
    </w:pPr>
    <w:rPr>
      <w:b/>
      <w:bCs/>
      <w:color w:val="1F5C4D"/>
      <w:sz w:val="30"/>
      <w:szCs w:val="30"/>
    </w:rPr>
  </w:style>
  <w:style w:type="paragraph" w:styleId="Heading2">
    <w:name w:val="Heading 2"/>
    <w:basedOn w:val="Normal"/>
    <w:next w:val="Normal"/>
    <w:qFormat/>
    <w:pPr>
      <w:spacing w:after="90" w:before="180"/>
      <w:outlineLvl w:val="1"/>
    </w:pPr>
    <w:rPr>
      <w:b/>
      <w:b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Tippla decision sheet</dc:title>
  <dc:creator>Tippla</dc:creator>
  <cp:lastModifiedBy>Un-named</cp:lastModifiedBy>
  <cp:revision>1</cp:revision>
  <dcterms:created xsi:type="dcterms:W3CDTF">2026-10-06T16:29:45.757Z</dcterms:created>
  <dcterms:modified xsi:type="dcterms:W3CDTF">2026-10-06T16:29:45.763Z</dcterms:modified>
</cp:coreProperties>
</file>

<file path=docProps/custom.xml><?xml version="1.0" encoding="utf-8"?>
<Properties xmlns="http://schemas.openxmlformats.org/officeDocument/2006/custom-properties" xmlns:vt="http://schemas.openxmlformats.org/officeDocument/2006/docPropsVTypes"/>
</file>