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679" w:rsidRDefault="00D33679" w:rsidP="00D33679">
      <w:pPr>
        <w:pStyle w:val="Heading1"/>
      </w:pPr>
      <w:bookmarkStart w:id="0" w:name="_Toc503270983"/>
      <w:r>
        <w:t>Architecture</w:t>
      </w:r>
      <w:bookmarkEnd w:id="0"/>
    </w:p>
    <w:p w:rsidR="00D33679" w:rsidRDefault="00D33679" w:rsidP="00D33679">
      <w:pPr>
        <w:pStyle w:val="Heading2"/>
        <w:keepNext w:val="0"/>
        <w:keepLines w:val="0"/>
        <w:tabs>
          <w:tab w:val="clear" w:pos="851"/>
        </w:tabs>
        <w:adjustRightInd/>
        <w:spacing w:before="200" w:after="0" w:line="276" w:lineRule="auto"/>
      </w:pPr>
      <w:bookmarkStart w:id="1" w:name="_Toc490031214"/>
      <w:bookmarkStart w:id="2" w:name="_Toc490031505"/>
      <w:bookmarkStart w:id="3" w:name="_Toc490032733"/>
      <w:bookmarkStart w:id="4" w:name="_Toc490031215"/>
      <w:bookmarkStart w:id="5" w:name="_Toc490031506"/>
      <w:bookmarkStart w:id="6" w:name="_Toc490032734"/>
      <w:bookmarkStart w:id="7" w:name="_Toc490031216"/>
      <w:bookmarkStart w:id="8" w:name="_Toc490031507"/>
      <w:bookmarkStart w:id="9" w:name="_Toc490032735"/>
      <w:bookmarkStart w:id="10" w:name="_Toc490031222"/>
      <w:bookmarkStart w:id="11" w:name="_Toc490031513"/>
      <w:bookmarkStart w:id="12" w:name="_Toc490032741"/>
      <w:bookmarkStart w:id="13" w:name="_Toc490031234"/>
      <w:bookmarkStart w:id="14" w:name="_Toc490031525"/>
      <w:bookmarkStart w:id="15" w:name="_Toc490032753"/>
      <w:bookmarkStart w:id="16" w:name="_Toc500332607"/>
      <w:bookmarkStart w:id="17" w:name="_Toc500332857"/>
      <w:bookmarkStart w:id="18" w:name="_Toc50327098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>
          <w:rFonts w:hint="eastAsia"/>
        </w:rPr>
        <w:t>Overview</w:t>
      </w:r>
      <w:bookmarkEnd w:id="16"/>
      <w:bookmarkEnd w:id="17"/>
      <w:bookmarkEnd w:id="18"/>
    </w:p>
    <w:p w:rsidR="00D33679" w:rsidRDefault="00D33679" w:rsidP="00D33679">
      <w:r>
        <w:rPr>
          <w:rFonts w:hint="eastAsia"/>
        </w:rPr>
        <w:t xml:space="preserve">UDIS architecture is layer </w:t>
      </w:r>
      <w:r>
        <w:t>designed,</w:t>
      </w:r>
      <w:r>
        <w:rPr>
          <w:rFonts w:hint="eastAsia"/>
        </w:rPr>
        <w:t xml:space="preserve"> there are </w:t>
      </w:r>
      <w:r>
        <w:t xml:space="preserve">total </w:t>
      </w:r>
      <w:r>
        <w:rPr>
          <w:rFonts w:hint="eastAsia"/>
        </w:rPr>
        <w:t>4</w:t>
      </w:r>
      <w:r>
        <w:t xml:space="preserve"> layers </w:t>
      </w:r>
      <w:r>
        <w:rPr>
          <w:rFonts w:hint="eastAsia"/>
        </w:rPr>
        <w:t xml:space="preserve">and a few types of interface </w:t>
      </w:r>
      <w:r>
        <w:t>defined in the system</w:t>
      </w:r>
      <w:r>
        <w:rPr>
          <w:rFonts w:hint="eastAsia"/>
        </w:rPr>
        <w:t xml:space="preserve"> as </w:t>
      </w:r>
      <w:r>
        <w:t>descript as</w:t>
      </w:r>
      <w:r>
        <w:rPr>
          <w:rFonts w:hint="eastAsia"/>
        </w:rPr>
        <w:t xml:space="preserve"> follow. </w:t>
      </w:r>
    </w:p>
    <w:p w:rsidR="00D33679" w:rsidRDefault="00D33679" w:rsidP="00D33679">
      <w:r>
        <w:object w:dxaOrig="19899" w:dyaOrig="9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7.4pt;height:233.4pt" o:ole="">
            <v:imagedata r:id="rId7" o:title=""/>
          </v:shape>
          <o:OLEObject Type="Embed" ProgID="Visio.Drawing.11" ShapeID="_x0000_i1034" DrawAspect="Content" ObjectID="_1598941498" r:id="rId8"/>
        </w:object>
      </w:r>
    </w:p>
    <w:p w:rsidR="00D33679" w:rsidRDefault="00D33679" w:rsidP="00D33679">
      <w:pPr>
        <w:pStyle w:val="Heading2"/>
        <w:keepNext w:val="0"/>
        <w:keepLines w:val="0"/>
        <w:tabs>
          <w:tab w:val="clear" w:pos="851"/>
        </w:tabs>
        <w:adjustRightInd/>
        <w:spacing w:before="200" w:after="0" w:line="276" w:lineRule="auto"/>
      </w:pPr>
      <w:bookmarkStart w:id="19" w:name="_Ref500100553"/>
      <w:bookmarkStart w:id="20" w:name="_Toc500332608"/>
      <w:bookmarkStart w:id="21" w:name="_Toc500332858"/>
      <w:bookmarkStart w:id="22" w:name="_Toc503270985"/>
      <w:r>
        <w:rPr>
          <w:rFonts w:hint="eastAsia"/>
        </w:rPr>
        <w:t>Layers</w:t>
      </w:r>
      <w:bookmarkEnd w:id="19"/>
      <w:bookmarkEnd w:id="20"/>
      <w:bookmarkEnd w:id="21"/>
      <w:bookmarkEnd w:id="22"/>
    </w:p>
    <w:p w:rsidR="00D33679" w:rsidRDefault="00D33679" w:rsidP="00D33679">
      <w:pPr>
        <w:pStyle w:val="Heading3"/>
        <w:keepNext w:val="0"/>
        <w:keepLines w:val="0"/>
        <w:tabs>
          <w:tab w:val="clear" w:pos="851"/>
        </w:tabs>
        <w:adjustRightInd/>
        <w:spacing w:before="200" w:after="0" w:line="271" w:lineRule="auto"/>
        <w:jc w:val="left"/>
      </w:pPr>
      <w:bookmarkStart w:id="23" w:name="_Toc500332609"/>
      <w:bookmarkStart w:id="24" w:name="_Toc500332859"/>
      <w:bookmarkStart w:id="25" w:name="_Toc503270986"/>
      <w:r>
        <w:rPr>
          <w:rFonts w:hint="eastAsia"/>
        </w:rPr>
        <w:t>Application Layer</w:t>
      </w:r>
      <w:bookmarkEnd w:id="23"/>
      <w:bookmarkEnd w:id="24"/>
      <w:bookmarkEnd w:id="25"/>
    </w:p>
    <w:p w:rsidR="00D33679" w:rsidRDefault="00D33679" w:rsidP="00D33679">
      <w:pPr>
        <w:rPr>
          <w:rFonts w:hint="eastAsia"/>
        </w:rPr>
      </w:pPr>
      <w:r>
        <w:rPr>
          <w:rFonts w:hint="eastAsia"/>
        </w:rPr>
        <w:t xml:space="preserve">This layer is user oriented. </w:t>
      </w:r>
      <w:r>
        <w:t>User always requests</w:t>
      </w:r>
      <w:r>
        <w:rPr>
          <w:rFonts w:hint="eastAsia"/>
        </w:rPr>
        <w:t xml:space="preserve"> the first level business from the Module locate in </w:t>
      </w:r>
      <w:r w:rsidR="00037FF0">
        <w:rPr>
          <w:rFonts w:hint="eastAsia"/>
        </w:rPr>
        <w:t>Application L</w:t>
      </w:r>
      <w:r>
        <w:rPr>
          <w:rFonts w:hint="eastAsia"/>
        </w:rPr>
        <w:t>ayer</w:t>
      </w:r>
      <w:r w:rsidR="00037FF0">
        <w:rPr>
          <w:rFonts w:hint="eastAsia"/>
        </w:rPr>
        <w:t>,</w:t>
      </w:r>
      <w:r>
        <w:rPr>
          <w:rFonts w:hint="eastAsia"/>
        </w:rPr>
        <w:t xml:space="preserve"> which always provide</w:t>
      </w:r>
      <w:r w:rsidR="00037FF0">
        <w:rPr>
          <w:rFonts w:hint="eastAsia"/>
        </w:rPr>
        <w:t>s</w:t>
      </w:r>
      <w:r>
        <w:rPr>
          <w:rFonts w:hint="eastAsia"/>
        </w:rPr>
        <w:t xml:space="preserve"> most human view and </w:t>
      </w:r>
      <w:r w:rsidR="00037FF0">
        <w:rPr>
          <w:rFonts w:hint="eastAsia"/>
        </w:rPr>
        <w:t xml:space="preserve">act as </w:t>
      </w:r>
      <w:r>
        <w:rPr>
          <w:rFonts w:hint="eastAsia"/>
        </w:rPr>
        <w:t xml:space="preserve">business sponsor. </w:t>
      </w:r>
    </w:p>
    <w:p w:rsidR="00CE4DF2" w:rsidRPr="000C5C4C" w:rsidRDefault="00CE4DF2" w:rsidP="00D33679">
      <w:r>
        <w:rPr>
          <w:rFonts w:hint="eastAsia"/>
        </w:rPr>
        <w:t xml:space="preserve">UDIS GUI locates in Application Layer, which can provide </w:t>
      </w:r>
      <w:r>
        <w:t xml:space="preserve">Asset Management, User Account Management, </w:t>
      </w:r>
      <w:r>
        <w:rPr>
          <w:rFonts w:hint="eastAsia"/>
        </w:rPr>
        <w:t xml:space="preserve">Collection Scheme Setting, </w:t>
      </w:r>
      <w:r>
        <w:t xml:space="preserve">Data View, </w:t>
      </w:r>
      <w:r>
        <w:rPr>
          <w:rFonts w:hint="eastAsia"/>
        </w:rPr>
        <w:t>Read Out Result Search, and other features.</w:t>
      </w:r>
    </w:p>
    <w:p w:rsidR="00D33679" w:rsidRDefault="00D33679" w:rsidP="00D33679">
      <w:pPr>
        <w:pStyle w:val="Heading3"/>
        <w:keepNext w:val="0"/>
        <w:keepLines w:val="0"/>
        <w:tabs>
          <w:tab w:val="clear" w:pos="851"/>
        </w:tabs>
        <w:adjustRightInd/>
        <w:spacing w:before="200" w:after="0" w:line="271" w:lineRule="auto"/>
        <w:jc w:val="left"/>
      </w:pPr>
      <w:bookmarkStart w:id="26" w:name="_Toc500332610"/>
      <w:bookmarkStart w:id="27" w:name="_Toc500332860"/>
      <w:bookmarkStart w:id="28" w:name="_Toc503270987"/>
      <w:r>
        <w:rPr>
          <w:rFonts w:hint="eastAsia"/>
        </w:rPr>
        <w:t>Business Layer</w:t>
      </w:r>
      <w:bookmarkEnd w:id="26"/>
      <w:bookmarkEnd w:id="27"/>
      <w:bookmarkEnd w:id="28"/>
    </w:p>
    <w:p w:rsidR="00CE4DF2" w:rsidRDefault="00D33679" w:rsidP="00D33679">
      <w:r>
        <w:rPr>
          <w:rFonts w:hint="eastAsia"/>
        </w:rPr>
        <w:t xml:space="preserve">Module in Business Layer will </w:t>
      </w:r>
      <w:r w:rsidRPr="0038281F">
        <w:t>transition from abstraction to concretization</w:t>
      </w:r>
      <w:r w:rsidR="00E44326">
        <w:rPr>
          <w:rFonts w:hint="eastAsia"/>
        </w:rPr>
        <w:t xml:space="preserve">. </w:t>
      </w:r>
      <w:r>
        <w:rPr>
          <w:rFonts w:hint="eastAsia"/>
        </w:rPr>
        <w:t>It changes the Business S</w:t>
      </w:r>
      <w:r>
        <w:t>ervices</w:t>
      </w:r>
      <w:r>
        <w:rPr>
          <w:rFonts w:hint="eastAsia"/>
        </w:rPr>
        <w:t xml:space="preserve"> from Application Layer</w:t>
      </w:r>
      <w:r>
        <w:t xml:space="preserve"> into</w:t>
      </w:r>
      <w:r>
        <w:rPr>
          <w:rFonts w:hint="eastAsia"/>
        </w:rPr>
        <w:t xml:space="preserve"> Task Services. </w:t>
      </w:r>
      <w:r>
        <w:t>A</w:t>
      </w:r>
      <w:r>
        <w:rPr>
          <w:rFonts w:hint="eastAsia"/>
        </w:rPr>
        <w:t xml:space="preserve">nd send Task Services into Protocol Layer. </w:t>
      </w:r>
      <w:r>
        <w:t xml:space="preserve">From the Task Service view, </w:t>
      </w:r>
      <w:r>
        <w:rPr>
          <w:rFonts w:hint="eastAsia"/>
        </w:rPr>
        <w:t xml:space="preserve">Modules in this layer always act as </w:t>
      </w:r>
      <w:r w:rsidRPr="00AF1A50">
        <w:rPr>
          <w:rFonts w:hint="eastAsia"/>
          <w:b/>
        </w:rPr>
        <w:t>Producer</w:t>
      </w:r>
      <w:r>
        <w:rPr>
          <w:rFonts w:hint="eastAsia"/>
        </w:rPr>
        <w:t>.</w:t>
      </w:r>
    </w:p>
    <w:p w:rsidR="00D33679" w:rsidRDefault="00D33679" w:rsidP="00D33679">
      <w:pPr>
        <w:pStyle w:val="Heading3"/>
        <w:keepNext w:val="0"/>
        <w:keepLines w:val="0"/>
        <w:tabs>
          <w:tab w:val="clear" w:pos="851"/>
        </w:tabs>
        <w:adjustRightInd/>
        <w:spacing w:before="200" w:after="0" w:line="271" w:lineRule="auto"/>
        <w:jc w:val="left"/>
      </w:pPr>
      <w:bookmarkStart w:id="29" w:name="_Toc500332611"/>
      <w:bookmarkStart w:id="30" w:name="_Toc500332861"/>
      <w:bookmarkStart w:id="31" w:name="_Toc503270988"/>
      <w:r>
        <w:rPr>
          <w:rFonts w:hint="eastAsia"/>
        </w:rPr>
        <w:t>Protocol Layer</w:t>
      </w:r>
      <w:bookmarkEnd w:id="29"/>
      <w:bookmarkEnd w:id="30"/>
      <w:bookmarkEnd w:id="31"/>
    </w:p>
    <w:p w:rsidR="00D33679" w:rsidRDefault="00D33679" w:rsidP="00D33679">
      <w:r>
        <w:t xml:space="preserve">From the Task Service view, </w:t>
      </w:r>
      <w:r>
        <w:rPr>
          <w:rFonts w:hint="eastAsia"/>
        </w:rPr>
        <w:t xml:space="preserve">Modules in this layer always act as </w:t>
      </w:r>
      <w:r w:rsidRPr="00AF1A50">
        <w:rPr>
          <w:b/>
        </w:rPr>
        <w:t>Consumer</w:t>
      </w:r>
      <w:r>
        <w:rPr>
          <w:rFonts w:hint="eastAsia"/>
        </w:rPr>
        <w:t xml:space="preserve">.  Approaches of how to process the Task Service is located in this layer.  PDU Request </w:t>
      </w:r>
      <w:r>
        <w:t>which</w:t>
      </w:r>
      <w:r>
        <w:rPr>
          <w:rFonts w:hint="eastAsia"/>
        </w:rPr>
        <w:t xml:space="preserve"> would send to Smart Device is </w:t>
      </w:r>
      <w:r>
        <w:t>generate</w:t>
      </w:r>
      <w:r>
        <w:rPr>
          <w:rFonts w:hint="eastAsia"/>
        </w:rPr>
        <w:t>d in this layer.</w:t>
      </w:r>
    </w:p>
    <w:p w:rsidR="00D33679" w:rsidRDefault="00D33679" w:rsidP="00D33679">
      <w:pPr>
        <w:rPr>
          <w:rFonts w:hint="eastAsia"/>
        </w:rPr>
      </w:pPr>
      <w:r>
        <w:rPr>
          <w:rFonts w:hint="eastAsia"/>
        </w:rPr>
        <w:t xml:space="preserve">For different Smart Device Protocol, </w:t>
      </w:r>
      <w:r>
        <w:t>approaches of how to process the Task Service are</w:t>
      </w:r>
      <w:r>
        <w:rPr>
          <w:rFonts w:hint="eastAsia"/>
        </w:rPr>
        <w:t xml:space="preserve"> </w:t>
      </w:r>
      <w:r w:rsidRPr="00DF3721">
        <w:rPr>
          <w:rFonts w:hint="eastAsia"/>
          <w:b/>
        </w:rPr>
        <w:t>disparate</w:t>
      </w:r>
      <w:r>
        <w:rPr>
          <w:rFonts w:hint="eastAsia"/>
        </w:rPr>
        <w:t>.</w:t>
      </w:r>
    </w:p>
    <w:p w:rsidR="00CE4DF2" w:rsidRPr="00AF1A50" w:rsidRDefault="00CE4DF2" w:rsidP="00D33679">
      <w:r>
        <w:rPr>
          <w:rFonts w:hint="eastAsia"/>
        </w:rPr>
        <w:t xml:space="preserve">Collection, RCS and FWU module contain the feature of Business Layer and Protocol </w:t>
      </w:r>
      <w:r>
        <w:t>Layer;</w:t>
      </w:r>
      <w:r>
        <w:rPr>
          <w:rFonts w:hint="eastAsia"/>
        </w:rPr>
        <w:t xml:space="preserve"> all of them are designed base on the Business Layer part and Protocol Layer part. In order to support the special behavior of WEG meter, Executable module </w:t>
      </w:r>
      <w:r>
        <w:t>“</w:t>
      </w:r>
      <w:r>
        <w:rPr>
          <w:rFonts w:hint="eastAsia"/>
        </w:rPr>
        <w:t>Collection_Weg</w:t>
      </w:r>
      <w:r>
        <w:t>”</w:t>
      </w:r>
      <w:r>
        <w:rPr>
          <w:rFonts w:hint="eastAsia"/>
        </w:rPr>
        <w:t xml:space="preserve"> is extended beside the </w:t>
      </w:r>
      <w:r>
        <w:t>“</w:t>
      </w:r>
      <w:r>
        <w:rPr>
          <w:rFonts w:hint="eastAsia"/>
        </w:rPr>
        <w:t>Collection_Dlms47</w:t>
      </w:r>
      <w:r>
        <w:t>”</w:t>
      </w:r>
      <w:r>
        <w:rPr>
          <w:rFonts w:hint="eastAsia"/>
        </w:rPr>
        <w:t xml:space="preserve"> module. </w:t>
      </w:r>
    </w:p>
    <w:p w:rsidR="00D33679" w:rsidRDefault="00D33679" w:rsidP="00D33679">
      <w:pPr>
        <w:pStyle w:val="Heading3"/>
        <w:keepNext w:val="0"/>
        <w:keepLines w:val="0"/>
        <w:tabs>
          <w:tab w:val="clear" w:pos="851"/>
        </w:tabs>
        <w:adjustRightInd/>
        <w:spacing w:before="200" w:after="0" w:line="271" w:lineRule="auto"/>
        <w:jc w:val="left"/>
      </w:pPr>
      <w:bookmarkStart w:id="32" w:name="_Toc500332612"/>
      <w:bookmarkStart w:id="33" w:name="_Toc500332862"/>
      <w:bookmarkStart w:id="34" w:name="_Toc503270989"/>
      <w:r>
        <w:rPr>
          <w:rFonts w:hint="eastAsia"/>
        </w:rPr>
        <w:t>Communication Layer</w:t>
      </w:r>
      <w:bookmarkEnd w:id="32"/>
      <w:bookmarkEnd w:id="33"/>
      <w:bookmarkEnd w:id="34"/>
    </w:p>
    <w:p w:rsidR="00D33679" w:rsidRDefault="00D33679" w:rsidP="00D33679">
      <w:r>
        <w:rPr>
          <w:rFonts w:hint="eastAsia"/>
        </w:rPr>
        <w:lastRenderedPageBreak/>
        <w:t xml:space="preserve">This layer is responsible for communication issues.  </w:t>
      </w:r>
      <w:r>
        <w:t>I</w:t>
      </w:r>
      <w:r>
        <w:rPr>
          <w:rFonts w:hint="eastAsia"/>
        </w:rPr>
        <w:t xml:space="preserve">t will be regardless </w:t>
      </w:r>
      <w:r>
        <w:t>with</w:t>
      </w:r>
      <w:r>
        <w:rPr>
          <w:rFonts w:hint="eastAsia"/>
        </w:rPr>
        <w:t xml:space="preserve"> Smart Device Protocol. </w:t>
      </w:r>
      <w:r>
        <w:t>I</w:t>
      </w:r>
      <w:r>
        <w:rPr>
          <w:rFonts w:hint="eastAsia"/>
        </w:rPr>
        <w:t xml:space="preserve">t takes care of the approaches of how to </w:t>
      </w:r>
      <w:r w:rsidRPr="009A0780">
        <w:rPr>
          <w:rFonts w:hint="eastAsia"/>
          <w:b/>
        </w:rPr>
        <w:t>transfer</w:t>
      </w:r>
      <w:r>
        <w:rPr>
          <w:rFonts w:hint="eastAsia"/>
        </w:rPr>
        <w:t xml:space="preserve"> data.</w:t>
      </w:r>
    </w:p>
    <w:p w:rsidR="007D44CA" w:rsidRDefault="007D44CA">
      <w:r>
        <w:rPr>
          <w:rFonts w:hint="eastAsia"/>
        </w:rPr>
        <w:t xml:space="preserve">Router Module takes responsibility of the internal </w:t>
      </w:r>
      <w:r>
        <w:t>communication;</w:t>
      </w:r>
      <w:r>
        <w:rPr>
          <w:rFonts w:hint="eastAsia"/>
        </w:rPr>
        <w:t xml:space="preserve"> it acts as a router to transfer data between the services in UDIS internally. FEE is used to communicate with Device directly. FEE_dlms47 is used for data </w:t>
      </w:r>
      <w:r>
        <w:t>transferring</w:t>
      </w:r>
      <w:r>
        <w:rPr>
          <w:rFonts w:hint="eastAsia"/>
        </w:rPr>
        <w:t xml:space="preserve"> of Data under IEC 62056-47 </w:t>
      </w:r>
      <w:r>
        <w:t>Protocol</w:t>
      </w:r>
      <w:r>
        <w:rPr>
          <w:rFonts w:hint="eastAsia"/>
        </w:rPr>
        <w:t xml:space="preserve">, and FEE_dlms46 is used for data </w:t>
      </w:r>
      <w:r>
        <w:t>transferring</w:t>
      </w:r>
      <w:r>
        <w:rPr>
          <w:rFonts w:hint="eastAsia"/>
        </w:rPr>
        <w:t xml:space="preserve"> of Data under 62056-46 Protocol.</w:t>
      </w:r>
    </w:p>
    <w:sectPr w:rsidR="007D44CA" w:rsidSect="00FA13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3679" w:rsidRDefault="00D33679" w:rsidP="00D33679">
      <w:pPr>
        <w:spacing w:before="0" w:after="0"/>
      </w:pPr>
      <w:r>
        <w:separator/>
      </w:r>
    </w:p>
  </w:endnote>
  <w:endnote w:type="continuationSeparator" w:id="0">
    <w:p w:rsidR="00D33679" w:rsidRDefault="00D33679" w:rsidP="00D33679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679" w:rsidRDefault="00D336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679" w:rsidRDefault="00D33679">
    <w:pPr>
      <w:pStyle w:val="Footer"/>
    </w:pPr>
    <w:r>
      <w:t>Unrestricted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679" w:rsidRDefault="00D336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3679" w:rsidRDefault="00D33679" w:rsidP="00D33679">
      <w:pPr>
        <w:spacing w:before="0" w:after="0"/>
      </w:pPr>
      <w:r>
        <w:separator/>
      </w:r>
    </w:p>
  </w:footnote>
  <w:footnote w:type="continuationSeparator" w:id="0">
    <w:p w:rsidR="00D33679" w:rsidRDefault="00D33679" w:rsidP="00D33679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679" w:rsidRDefault="00D3367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679" w:rsidRDefault="00D3367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679" w:rsidRDefault="00D3367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D107C"/>
    <w:multiLevelType w:val="multilevel"/>
    <w:tmpl w:val="3B580E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18"/>
        </w:tabs>
        <w:ind w:left="1718" w:hanging="100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3679"/>
    <w:rsid w:val="00037FF0"/>
    <w:rsid w:val="004310FD"/>
    <w:rsid w:val="004C5325"/>
    <w:rsid w:val="00537E59"/>
    <w:rsid w:val="006C4C73"/>
    <w:rsid w:val="007D44CA"/>
    <w:rsid w:val="008B6D37"/>
    <w:rsid w:val="00B33BAC"/>
    <w:rsid w:val="00CE4DF2"/>
    <w:rsid w:val="00D33679"/>
    <w:rsid w:val="00E44326"/>
    <w:rsid w:val="00EE332D"/>
    <w:rsid w:val="00F05093"/>
    <w:rsid w:val="00FA1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679"/>
    <w:pPr>
      <w:keepLines/>
      <w:adjustRightInd w:val="0"/>
      <w:spacing w:before="60" w:after="60" w:line="240" w:lineRule="auto"/>
    </w:pPr>
    <w:rPr>
      <w:rFonts w:eastAsia="宋体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3679"/>
    <w:pPr>
      <w:keepNext/>
      <w:pageBreakBefore/>
      <w:numPr>
        <w:numId w:val="1"/>
      </w:numPr>
      <w:tabs>
        <w:tab w:val="left" w:pos="851"/>
      </w:tabs>
      <w:spacing w:before="0" w:after="300"/>
      <w:outlineLvl w:val="0"/>
    </w:pPr>
    <w:rPr>
      <w:b/>
      <w:sz w:val="36"/>
    </w:rPr>
  </w:style>
  <w:style w:type="paragraph" w:styleId="Heading2">
    <w:name w:val="heading 2"/>
    <w:aliases w:val="satya2,H2,Headline 2,nmhd2,título 2,2,Sub-heading,sl2,Headinnormalg 2,Chapter,1.Seite,h2,Module Subheading,PARA2,PARA21,PARA22,PARA23,PARA24,PARA25,PARA26,PARA27,PARA28,PARA29,PARA211,PARA221,PARA231,PARA241,PARA251,PARA261,PARA271,PARA210,l2"/>
    <w:basedOn w:val="Normal"/>
    <w:next w:val="Normal"/>
    <w:link w:val="Heading2Char"/>
    <w:qFormat/>
    <w:rsid w:val="00D33679"/>
    <w:pPr>
      <w:keepNext/>
      <w:numPr>
        <w:ilvl w:val="1"/>
        <w:numId w:val="1"/>
      </w:numPr>
      <w:tabs>
        <w:tab w:val="left" w:pos="851"/>
      </w:tabs>
      <w:spacing w:before="300" w:after="2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33679"/>
    <w:pPr>
      <w:keepNext/>
      <w:numPr>
        <w:ilvl w:val="2"/>
        <w:numId w:val="1"/>
      </w:numPr>
      <w:tabs>
        <w:tab w:val="left" w:pos="851"/>
      </w:tabs>
      <w:spacing w:before="120"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D33679"/>
    <w:pPr>
      <w:keepNext/>
      <w:numPr>
        <w:ilvl w:val="3"/>
        <w:numId w:val="1"/>
      </w:numPr>
      <w:tabs>
        <w:tab w:val="right" w:pos="1134"/>
      </w:tabs>
      <w:jc w:val="both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D33679"/>
    <w:pPr>
      <w:keepNext/>
      <w:numPr>
        <w:ilvl w:val="4"/>
        <w:numId w:val="1"/>
      </w:numPr>
      <w:tabs>
        <w:tab w:val="num" w:pos="1134"/>
      </w:tabs>
      <w:ind w:left="1134" w:hanging="1134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D33679"/>
    <w:pPr>
      <w:keepNext/>
      <w:numPr>
        <w:ilvl w:val="5"/>
        <w:numId w:val="1"/>
      </w:numPr>
      <w:ind w:left="1151" w:hanging="1151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D33679"/>
    <w:pPr>
      <w:numPr>
        <w:ilvl w:val="6"/>
        <w:numId w:val="1"/>
      </w:numPr>
      <w:outlineLvl w:val="6"/>
    </w:pPr>
  </w:style>
  <w:style w:type="paragraph" w:styleId="Heading8">
    <w:name w:val="heading 8"/>
    <w:basedOn w:val="Normal"/>
    <w:next w:val="Normal"/>
    <w:link w:val="Heading8Char"/>
    <w:qFormat/>
    <w:rsid w:val="00D33679"/>
    <w:pPr>
      <w:numPr>
        <w:ilvl w:val="7"/>
        <w:numId w:val="1"/>
      </w:numPr>
      <w:outlineLvl w:val="7"/>
    </w:pPr>
  </w:style>
  <w:style w:type="paragraph" w:styleId="Heading9">
    <w:name w:val="heading 9"/>
    <w:basedOn w:val="Normal"/>
    <w:next w:val="Normal"/>
    <w:link w:val="Heading9Char"/>
    <w:qFormat/>
    <w:rsid w:val="00D33679"/>
    <w:pPr>
      <w:numPr>
        <w:ilvl w:val="8"/>
        <w:numId w:val="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679"/>
    <w:rPr>
      <w:rFonts w:eastAsia="宋体" w:cs="Times New Roman"/>
      <w:b/>
      <w:sz w:val="36"/>
      <w:szCs w:val="20"/>
    </w:rPr>
  </w:style>
  <w:style w:type="character" w:customStyle="1" w:styleId="Heading2Char">
    <w:name w:val="Heading 2 Char"/>
    <w:aliases w:val="satya2 Char,H2 Char,Headline 2 Char,nmhd2 Char,título 2 Char,2 Char,Sub-heading Char,sl2 Char,Headinnormalg 2 Char,Chapter Char,1.Seite Char,h2 Char,Module Subheading Char,PARA2 Char,PARA21 Char,PARA22 Char,PARA23 Char,PARA24 Char,l2 Char"/>
    <w:basedOn w:val="DefaultParagraphFont"/>
    <w:link w:val="Heading2"/>
    <w:rsid w:val="00D33679"/>
    <w:rPr>
      <w:rFonts w:eastAsia="宋体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33679"/>
    <w:rPr>
      <w:rFonts w:eastAsia="宋体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33679"/>
    <w:rPr>
      <w:rFonts w:eastAsia="宋体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D33679"/>
    <w:rPr>
      <w:rFonts w:eastAsia="宋体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D33679"/>
    <w:rPr>
      <w:rFonts w:eastAsia="宋体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D33679"/>
    <w:rPr>
      <w:rFonts w:eastAsia="宋体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33679"/>
    <w:rPr>
      <w:rFonts w:eastAsia="宋体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33679"/>
    <w:rPr>
      <w:rFonts w:eastAsia="宋体" w:cs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3367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33679"/>
    <w:rPr>
      <w:rFonts w:ascii="Tahoma" w:eastAsia="宋体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33679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679"/>
    <w:rPr>
      <w:rFonts w:eastAsia="宋体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33679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3679"/>
    <w:rPr>
      <w:rFonts w:eastAsia="宋体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1717</Characters>
  <Application>Microsoft Office Word</Application>
  <DocSecurity>0</DocSecurity>
  <Lines>35</Lines>
  <Paragraphs>26</Paragraphs>
  <ScaleCrop>false</ScaleCrop>
  <Company>Licence Owner</Company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z003n3cs</dc:creator>
  <cp:keywords>C_Unrestricted</cp:keywords>
  <dc:description/>
  <cp:lastModifiedBy>z003n3cs</cp:lastModifiedBy>
  <cp:revision>7</cp:revision>
  <dcterms:created xsi:type="dcterms:W3CDTF">2018-09-20T01:19:00Z</dcterms:created>
  <dcterms:modified xsi:type="dcterms:W3CDTF">2018-09-20T01:38:00Z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_AdHocReviewCycleID">
    <vt:i4>-693842068</vt:i4>
  </property>
  <property fmtid="{D5CDD505-2E9C-101B-9397-08002B2CF9AE}" pid="4" name="_NewReviewCycle">
    <vt:lpwstr/>
  </property>
  <property fmtid="{D5CDD505-2E9C-101B-9397-08002B2CF9AE}" pid="5" name="_EmailSubject">
    <vt:lpwstr>Architecture overviw for Brazil Project</vt:lpwstr>
  </property>
  <property fmtid="{D5CDD505-2E9C-101B-9397-08002B2CF9AE}" pid="6" name="_AuthorEmail">
    <vt:lpwstr>guanhai.liu@smartmetering.com.cn</vt:lpwstr>
  </property>
  <property fmtid="{D5CDD505-2E9C-101B-9397-08002B2CF9AE}" pid="7" name="_AuthorEmailDisplayName">
    <vt:lpwstr>Liu, Guan Hai (RC-CN EM DG SWS SMSC R&amp;D)</vt:lpwstr>
  </property>
</Properties>
</file>