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Zeno G3-PLC 自动注册功能设计说明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after="0" w:line="360" w:lineRule="auto"/>
        <w:textAlignment w:val="auto"/>
        <w:outlineLvl w:val="0"/>
        <w:rPr>
          <w:rFonts w:hint="eastAsia" w:ascii="微软雅黑" w:hAnsi="微软雅黑" w:eastAsia="微软雅黑" w:cs="微软雅黑"/>
          <w:b/>
          <w:sz w:val="28"/>
          <w:szCs w:val="18"/>
          <w:lang w:eastAsia="zh-CN"/>
        </w:rPr>
      </w:pPr>
      <w:bookmarkStart w:id="0" w:name="_Toc522545552"/>
      <w:bookmarkStart w:id="1" w:name="_Toc522545572"/>
      <w:r>
        <w:rPr>
          <w:rFonts w:hint="eastAsia" w:ascii="微软雅黑" w:hAnsi="微软雅黑" w:eastAsia="微软雅黑" w:cs="微软雅黑"/>
          <w:b/>
          <w:sz w:val="28"/>
          <w:szCs w:val="18"/>
          <w:lang w:val="en-US" w:eastAsia="zh-CN"/>
        </w:rPr>
        <w:t>G3-</w:t>
      </w:r>
      <w:r>
        <w:rPr>
          <w:rFonts w:hint="eastAsia" w:ascii="微软雅黑" w:hAnsi="微软雅黑" w:eastAsia="微软雅黑" w:cs="微软雅黑"/>
          <w:b/>
          <w:sz w:val="28"/>
          <w:szCs w:val="18"/>
          <w:lang w:eastAsia="zh-CN"/>
        </w:rPr>
        <w:t>PLC电表</w:t>
      </w:r>
      <w:bookmarkEnd w:id="0"/>
      <w:r>
        <w:rPr>
          <w:rFonts w:hint="eastAsia" w:ascii="微软雅黑" w:hAnsi="微软雅黑" w:eastAsia="微软雅黑" w:cs="微软雅黑"/>
          <w:b/>
          <w:sz w:val="28"/>
          <w:szCs w:val="18"/>
          <w:lang w:eastAsia="zh-CN"/>
        </w:rPr>
        <w:t>系统注册</w:t>
      </w:r>
    </w:p>
    <w:p>
      <w:pPr>
        <w:pStyle w:val="6"/>
        <w:snapToGrid w:val="0"/>
        <w:spacing w:after="0"/>
        <w:ind w:firstLine="567"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PLC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表计注册、网络维护和心跳机制等，在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PLC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通信中自动完成，相关工作机制的细节描述参考章节4.2。</w:t>
      </w:r>
    </w:p>
    <w:p>
      <w:pPr>
        <w:pStyle w:val="6"/>
        <w:snapToGrid w:val="0"/>
        <w:spacing w:after="0"/>
        <w:ind w:firstLine="567"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PLC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表计注册过程（以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G3-PLC为例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）：</w:t>
      </w:r>
    </w:p>
    <w:p>
      <w:pPr>
        <w:pStyle w:val="6"/>
        <w:numPr>
          <w:ilvl w:val="0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在系统同时上电后</w:t>
      </w:r>
      <w:r>
        <w:rPr>
          <w:rFonts w:hint="eastAsia" w:ascii="微软雅黑" w:hAnsi="微软雅黑" w:eastAsia="微软雅黑" w:cs="Arial"/>
          <w:iCs/>
          <w:sz w:val="24"/>
          <w:szCs w:val="21"/>
          <w:highlight w:val="none"/>
          <w:lang w:eastAsia="zh-CN"/>
        </w:rPr>
        <w:t>，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表计从模块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随机延时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0~300秒，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提交注册申请到集中器（在G3-PLC组网路由过程中，优先</w:t>
      </w:r>
      <w:r>
        <w:rPr>
          <w:rFonts w:hint="default" w:ascii="微软雅黑" w:hAnsi="微软雅黑" w:eastAsia="微软雅黑" w:cs="Arial"/>
          <w:iCs/>
          <w:sz w:val="24"/>
          <w:szCs w:val="21"/>
          <w:lang w:eastAsia="zh-CN"/>
        </w:rPr>
        <w:t>按照预置频段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寻找信号最优的主节点）</w:t>
      </w:r>
      <w:r>
        <w:rPr>
          <w:rFonts w:hint="default" w:ascii="微软雅黑" w:hAnsi="微软雅黑" w:eastAsia="微软雅黑" w:cs="Arial"/>
          <w:iCs/>
          <w:sz w:val="24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。</w:t>
      </w:r>
    </w:p>
    <w:p>
      <w:pPr>
        <w:pStyle w:val="6"/>
        <w:numPr>
          <w:ilvl w:val="0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如果该表计未列入集中器的子表白名单，则集中器将拒绝注册申请，并推送事件信息到前置机。</w:t>
      </w:r>
    </w:p>
    <w:p>
      <w:pPr>
        <w:pStyle w:val="6"/>
        <w:numPr>
          <w:ilvl w:val="0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前置机收到新表注册申请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后，根据不同情况做出反馈：</w:t>
      </w:r>
    </w:p>
    <w:p>
      <w:pPr>
        <w:pStyle w:val="6"/>
        <w:numPr>
          <w:ilvl w:val="1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如果该表计还未在任何集中器注册，则允许表计注册到该集中器；更新白名单，配置密钥等参数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（用“新增”方式追补白名单，不复位主模块）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。待该表计再次提出申请时，顺利入网。</w:t>
      </w:r>
    </w:p>
    <w:p>
      <w:pPr>
        <w:pStyle w:val="6"/>
        <w:numPr>
          <w:ilvl w:val="1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如果该表计曾经注册过其它集中器，并且上次注册时间与本次新申请时间的间隔小于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1天，则拒绝以防止在集中器之间频繁切换。</w:t>
      </w:r>
    </w:p>
    <w:p>
      <w:pPr>
        <w:pStyle w:val="6"/>
        <w:numPr>
          <w:ilvl w:val="1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如果该表计曾经注册过其它集中器，但两次注册时间间隔大于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1天，则允许表计注册到该集中器，同时更新两台集中器的白名单。（该机制主要用于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G3-PLC网络优化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）</w:t>
      </w:r>
    </w:p>
    <w:p>
      <w:pPr>
        <w:pStyle w:val="6"/>
        <w:numPr>
          <w:ilvl w:val="0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表计在第一次申请注册后，因为不在集中器白名单中，因而被拒绝。在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延时</w:t>
      </w:r>
      <w:r>
        <w:rPr>
          <w:rFonts w:hint="default" w:ascii="微软雅黑" w:hAnsi="微软雅黑" w:eastAsia="微软雅黑" w:cs="Arial"/>
          <w:iCs/>
          <w:sz w:val="24"/>
          <w:szCs w:val="21"/>
          <w:lang w:eastAsia="zh-CN"/>
        </w:rPr>
        <w:t>5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分钟之后，表计将发起第二次注册申请到同一集中器。如果被连续拒绝</w:t>
      </w:r>
      <w:r>
        <w:rPr>
          <w:rFonts w:hint="default" w:ascii="微软雅黑" w:hAnsi="微软雅黑" w:eastAsia="微软雅黑" w:cs="Arial"/>
          <w:iCs/>
          <w:sz w:val="24"/>
          <w:szCs w:val="21"/>
          <w:lang w:eastAsia="zh-CN"/>
        </w:rPr>
        <w:t>3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次，则尝试向其它集中器发起申请，</w:t>
      </w:r>
      <w:r>
        <w:rPr>
          <w:rFonts w:hint="default" w:ascii="微软雅黑" w:hAnsi="微软雅黑" w:eastAsia="微软雅黑" w:cs="Arial"/>
          <w:iCs/>
          <w:sz w:val="24"/>
          <w:szCs w:val="21"/>
          <w:lang w:eastAsia="zh-CN"/>
        </w:rPr>
        <w:t>轮询完所有集中器后；再顺次切换其它频段（CenA -&gt; FCC -&gt; FCCH），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直到注册成功。</w:t>
      </w:r>
    </w:p>
    <w:p>
      <w:pPr>
        <w:pStyle w:val="6"/>
        <w:numPr>
          <w:ilvl w:val="0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表计完成注册后，记忆从属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的主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集中器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和工作频段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，在下次上电后自动寻找主集中器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、按存储工作频段</w:t>
      </w: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入网。</w:t>
      </w:r>
    </w:p>
    <w:p>
      <w:pPr>
        <w:pStyle w:val="6"/>
        <w:numPr>
          <w:ilvl w:val="0"/>
          <w:numId w:val="2"/>
        </w:numPr>
        <w:snapToGrid w:val="0"/>
        <w:spacing w:after="0"/>
        <w:ind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ascii="微软雅黑" w:hAnsi="微软雅黑" w:eastAsia="微软雅黑" w:cs="Arial"/>
          <w:iCs/>
          <w:sz w:val="24"/>
          <w:szCs w:val="21"/>
          <w:lang w:eastAsia="zh-CN"/>
        </w:rPr>
        <w:t>在网运行过程中，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G3-PLC网络采取以下维护机制：</w:t>
      </w:r>
    </w:p>
    <w:p>
      <w:pPr>
        <w:pStyle w:val="6"/>
        <w:numPr>
          <w:ilvl w:val="1"/>
          <w:numId w:val="2"/>
        </w:numPr>
        <w:snapToGrid w:val="0"/>
        <w:spacing w:after="0"/>
        <w:ind w:left="1407" w:leftChars="0" w:hanging="420"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从模块将按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0分钟间隔发起心跳检测，期待主模块回应。如连续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次心跳没有回应（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120分钟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），则判定为网络异常。</w:t>
      </w:r>
    </w:p>
    <w:p>
      <w:pPr>
        <w:pStyle w:val="6"/>
        <w:numPr>
          <w:ilvl w:val="1"/>
          <w:numId w:val="2"/>
        </w:numPr>
        <w:snapToGrid w:val="0"/>
        <w:spacing w:after="0"/>
        <w:ind w:left="1407" w:leftChars="0" w:hanging="420" w:firstLine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从模块与主模块定期通信，如连续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90分钟无通信活动，则判定该从模块“暂时失联”，使集中器不再抄读该从模块所在的表计；如果主模块再次收到该从模块的心跳，则清除“暂时失联”状态，使下次集中器可正常抄读该从模块所在的表计。</w:t>
      </w:r>
    </w:p>
    <w:p>
      <w:pPr>
        <w:pStyle w:val="6"/>
        <w:numPr>
          <w:ilvl w:val="0"/>
          <w:numId w:val="0"/>
        </w:numPr>
        <w:snapToGrid w:val="0"/>
        <w:spacing w:after="0"/>
        <w:ind w:left="987" w:leftChars="0"/>
        <w:rPr>
          <w:rFonts w:ascii="微软雅黑" w:hAnsi="微软雅黑" w:eastAsia="微软雅黑" w:cs="Arial"/>
          <w:iCs/>
          <w:sz w:val="24"/>
          <w:szCs w:val="21"/>
          <w:lang w:eastAsia="zh-CN"/>
        </w:rPr>
      </w:pP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从模块满足上述条件</w:t>
      </w:r>
      <w:r>
        <w:rPr>
          <w:rFonts w:hint="eastAsia" w:ascii="微软雅黑" w:hAnsi="微软雅黑" w:eastAsia="微软雅黑" w:cs="Arial"/>
          <w:iCs/>
          <w:sz w:val="24"/>
          <w:szCs w:val="21"/>
          <w:lang w:val="en-US" w:eastAsia="zh-CN"/>
        </w:rPr>
        <w:t>a)</w:t>
      </w:r>
      <w:r>
        <w:rPr>
          <w:rFonts w:hint="eastAsia" w:ascii="微软雅黑" w:hAnsi="微软雅黑" w:eastAsia="微软雅黑" w:cs="Arial"/>
          <w:iCs/>
          <w:sz w:val="24"/>
          <w:szCs w:val="21"/>
          <w:lang w:eastAsia="zh-CN"/>
        </w:rPr>
        <w:t>，判定为异常后，将自动恢复到新表注册状态，重复执行上述A~E步骤。</w:t>
      </w:r>
    </w:p>
    <w:p>
      <w:pPr>
        <w:pStyle w:val="6"/>
        <w:numPr>
          <w:ilvl w:val="0"/>
          <w:numId w:val="0"/>
        </w:numPr>
        <w:snapToGrid w:val="0"/>
        <w:spacing w:after="0"/>
        <w:ind w:left="987" w:leftChars="0"/>
        <w:rPr>
          <w:rFonts w:hint="eastAsia" w:ascii="微软雅黑" w:hAnsi="微软雅黑" w:eastAsia="微软雅黑" w:cs="Arial"/>
          <w:i/>
          <w:iCs w:val="0"/>
          <w:sz w:val="22"/>
          <w:szCs w:val="20"/>
          <w:lang w:eastAsia="zh-CN"/>
        </w:rPr>
      </w:pPr>
      <w:r>
        <w:rPr>
          <w:rFonts w:hint="eastAsia" w:ascii="微软雅黑" w:hAnsi="微软雅黑" w:eastAsia="微软雅黑" w:cs="Arial"/>
          <w:i/>
          <w:iCs w:val="0"/>
          <w:sz w:val="22"/>
          <w:szCs w:val="20"/>
          <w:lang w:eastAsia="zh-CN"/>
        </w:rPr>
        <w:t>网络异常的可能原因有：集中器变更了白名单、移除子表、通信链路中断或更改了</w:t>
      </w:r>
      <w:r>
        <w:rPr>
          <w:rFonts w:hint="eastAsia" w:ascii="微软雅黑" w:hAnsi="微软雅黑" w:eastAsia="微软雅黑" w:cs="Arial"/>
          <w:i/>
          <w:iCs w:val="0"/>
          <w:sz w:val="22"/>
          <w:szCs w:val="20"/>
          <w:lang w:val="en-US" w:eastAsia="zh-CN"/>
        </w:rPr>
        <w:t xml:space="preserve"> GMK 通信密钥</w:t>
      </w:r>
      <w:r>
        <w:rPr>
          <w:rFonts w:hint="eastAsia" w:ascii="微软雅黑" w:hAnsi="微软雅黑" w:eastAsia="微软雅黑" w:cs="Arial"/>
          <w:i/>
          <w:iCs w:val="0"/>
          <w:sz w:val="22"/>
          <w:szCs w:val="20"/>
          <w:lang w:eastAsia="zh-CN"/>
        </w:rPr>
        <w:t>等。</w:t>
      </w:r>
    </w:p>
    <w:p>
      <w:pPr>
        <w:pStyle w:val="6"/>
        <w:numPr>
          <w:ilvl w:val="0"/>
          <w:numId w:val="0"/>
        </w:numPr>
        <w:snapToGrid w:val="0"/>
        <w:spacing w:after="0"/>
        <w:ind w:left="987" w:leftChars="0"/>
        <w:rPr>
          <w:rFonts w:hint="eastAsia" w:ascii="微软雅黑" w:hAnsi="微软雅黑" w:eastAsia="微软雅黑" w:cs="Arial"/>
          <w:i/>
          <w:iCs w:val="0"/>
          <w:sz w:val="22"/>
          <w:szCs w:val="20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after="0" w:line="360" w:lineRule="auto"/>
        <w:textAlignment w:val="auto"/>
        <w:outlineLvl w:val="0"/>
        <w:rPr>
          <w:rFonts w:hint="eastAsia" w:ascii="微软雅黑" w:hAnsi="微软雅黑" w:eastAsia="微软雅黑" w:cs="微软雅黑"/>
          <w:sz w:val="2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18"/>
          <w:lang w:val="en-US" w:eastAsia="zh-CN"/>
        </w:rPr>
        <w:t>G3-PLC</w:t>
      </w:r>
      <w:r>
        <w:rPr>
          <w:rFonts w:hint="eastAsia" w:ascii="微软雅黑" w:hAnsi="微软雅黑" w:eastAsia="微软雅黑" w:cs="微软雅黑"/>
          <w:sz w:val="28"/>
          <w:szCs w:val="18"/>
          <w:lang w:eastAsia="zh-CN"/>
        </w:rPr>
        <w:t>模块注册</w:t>
      </w:r>
      <w:bookmarkEnd w:id="1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PLC的路由组网和注册由主模块管理，按以下方式工作。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 w:cs="宋体"/>
          <w:bCs/>
          <w:sz w:val="24"/>
          <w:szCs w:val="24"/>
          <w:lang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主模块（上文名称为G</w:t>
      </w:r>
      <w:r>
        <w:rPr>
          <w:rFonts w:ascii="微软雅黑" w:hAnsi="微软雅黑" w:eastAsia="微软雅黑" w:cs="宋体"/>
          <w:bCs/>
          <w:sz w:val="24"/>
          <w:szCs w:val="24"/>
          <w:lang w:eastAsia="zh-CN"/>
        </w:rPr>
        <w:t>3-PLC</w:t>
      </w: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主节点）：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作为独立组件，安装在集中器、</w:t>
      </w:r>
      <w:r>
        <w:rPr>
          <w:rFonts w:ascii="微软雅黑" w:hAnsi="微软雅黑" w:eastAsia="微软雅黑" w:cs="宋体"/>
          <w:sz w:val="24"/>
          <w:szCs w:val="24"/>
          <w:lang w:eastAsia="zh-CN"/>
        </w:rPr>
        <w:t>Gateway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等主机中。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提供主机管理接口，以配置白名单、注册模式、路由表等工作参数和数据。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上电后，从主机获取子模块白名单；并总是基于白名单工作。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如果申请入网的子模块不在白名单中，则拒绝入网，并将注册申请推送到主机（根据配置）。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如主机允许新的子模块入网，则更新表计档案到模块主机，同步更新主模块白名单；等待子模块的下一轮入网申请。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540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从模块（上文名称为G3-PLC从节点）：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上电后自动读取表计序号，向主模块发送入网请求。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G</w:t>
      </w:r>
      <w:r>
        <w:rPr>
          <w:rFonts w:ascii="微软雅黑" w:hAnsi="微软雅黑" w:eastAsia="微软雅黑" w:cs="宋体"/>
          <w:sz w:val="24"/>
          <w:szCs w:val="24"/>
          <w:lang w:eastAsia="zh-CN"/>
        </w:rPr>
        <w:t>3-PLC规范有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Cen</w:t>
      </w:r>
      <w:r>
        <w:rPr>
          <w:rFonts w:hint="default" w:ascii="微软雅黑" w:hAnsi="微软雅黑" w:eastAsia="微软雅黑"/>
          <w:sz w:val="24"/>
          <w:szCs w:val="24"/>
          <w:lang w:eastAsia="zh-CN"/>
        </w:rPr>
        <w:t>A</w:t>
      </w:r>
      <w:r>
        <w:rPr>
          <w:rFonts w:ascii="微软雅黑" w:hAnsi="微软雅黑" w:eastAsia="微软雅黑"/>
          <w:sz w:val="24"/>
          <w:szCs w:val="24"/>
          <w:lang w:eastAsia="zh-CN"/>
        </w:rPr>
        <w:t>/FCC/FCCH 上个工作频段，在发起MAC/PHY层通信之前，需要</w:t>
      </w:r>
      <w:r>
        <w:rPr>
          <w:rFonts w:ascii="微软雅黑" w:hAnsi="微软雅黑" w:eastAsia="微软雅黑"/>
          <w:sz w:val="24"/>
          <w:szCs w:val="24"/>
          <w:lang w:eastAsia="zh-CN"/>
        </w:rPr>
        <w:t>根据预置参数，</w:t>
      </w:r>
      <w:r>
        <w:rPr>
          <w:rFonts w:ascii="微软雅黑" w:hAnsi="微软雅黑" w:eastAsia="微软雅黑"/>
          <w:sz w:val="24"/>
          <w:szCs w:val="24"/>
          <w:lang w:eastAsia="zh-CN"/>
        </w:rPr>
        <w:t>配置好频段参数，并初始化。</w:t>
      </w:r>
    </w:p>
    <w:p>
      <w:pPr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418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频段参数默认为F</w:t>
      </w:r>
      <w:r>
        <w:rPr>
          <w:rFonts w:ascii="微软雅黑" w:hAnsi="微软雅黑" w:eastAsia="微软雅黑" w:cs="宋体"/>
          <w:sz w:val="24"/>
          <w:szCs w:val="24"/>
          <w:lang w:eastAsia="zh-CN"/>
        </w:rPr>
        <w:t>CC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 xml:space="preserve"> 以获得最优的通信性能和最大的适用范围。</w:t>
      </w:r>
    </w:p>
    <w:p>
      <w:pPr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418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ascii="微软雅黑" w:hAnsi="微软雅黑" w:eastAsia="微软雅黑" w:cs="宋体"/>
          <w:sz w:val="24"/>
          <w:szCs w:val="24"/>
          <w:lang w:eastAsia="zh-CN"/>
        </w:rPr>
        <w:t>可在出厂前或现场修改频段参数，并存储到外部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 xml:space="preserve"> </w:t>
      </w:r>
      <w:r>
        <w:rPr>
          <w:rFonts w:ascii="微软雅黑" w:hAnsi="微软雅黑" w:eastAsia="微软雅黑" w:cs="宋体"/>
          <w:sz w:val="24"/>
          <w:szCs w:val="24"/>
          <w:lang w:eastAsia="zh-CN"/>
        </w:rPr>
        <w:t>FLASH。</w:t>
      </w:r>
    </w:p>
    <w:p>
      <w:pPr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418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  <w:r>
        <w:rPr>
          <w:rFonts w:ascii="微软雅黑" w:hAnsi="微软雅黑" w:eastAsia="微软雅黑" w:cs="宋体"/>
          <w:sz w:val="24"/>
          <w:szCs w:val="24"/>
          <w:lang w:eastAsia="zh-CN"/>
        </w:rPr>
        <w:t>上电后优先寻找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预置频段，如入网失败，则依次切换其它频段尝试。（自动切换频段功能有两个问题：一是造成入围效率降低，耗时过长；二是由于M</w:t>
      </w:r>
      <w:r>
        <w:rPr>
          <w:rFonts w:ascii="微软雅黑" w:hAnsi="微软雅黑" w:eastAsia="微软雅黑" w:cs="宋体"/>
          <w:sz w:val="24"/>
          <w:szCs w:val="24"/>
          <w:lang w:eastAsia="zh-CN"/>
        </w:rPr>
        <w:t>AC/PHY层在运行过程中的时序不一致，产生问题。）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等待主模块响应，如拒绝入网，则主模块将提交新表注册信息到集中器，等待系统审批。（自动注册功能可关闭）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highlight w:val="none"/>
          <w:lang w:eastAsia="zh-CN"/>
        </w:rPr>
        <w:t>从模块记忆注册状态（</w:t>
      </w:r>
      <w:r>
        <w:rPr>
          <w:rFonts w:hint="default" w:ascii="微软雅黑" w:hAnsi="微软雅黑" w:eastAsia="微软雅黑" w:cs="宋体"/>
          <w:sz w:val="24"/>
          <w:szCs w:val="24"/>
          <w:highlight w:val="none"/>
          <w:lang w:eastAsia="zh-CN"/>
        </w:rPr>
        <w:t>集中器、工作频段</w:t>
      </w:r>
      <w:r>
        <w:rPr>
          <w:rFonts w:hint="eastAsia" w:ascii="微软雅黑" w:hAnsi="微软雅黑" w:eastAsia="微软雅黑" w:cs="宋体"/>
          <w:sz w:val="24"/>
          <w:szCs w:val="24"/>
          <w:highlight w:val="none"/>
          <w:lang w:eastAsia="zh-CN"/>
        </w:rPr>
        <w:t>），如掉电后再次上电，优先登录已注册的</w:t>
      </w:r>
      <w:r>
        <w:rPr>
          <w:rFonts w:hint="default" w:ascii="微软雅黑" w:hAnsi="微软雅黑" w:eastAsia="微软雅黑" w:cs="宋体"/>
          <w:sz w:val="24"/>
          <w:szCs w:val="24"/>
          <w:highlight w:val="none"/>
          <w:lang w:eastAsia="zh-CN"/>
        </w:rPr>
        <w:t>集中器</w:t>
      </w:r>
      <w:r>
        <w:rPr>
          <w:rFonts w:hint="eastAsia" w:ascii="微软雅黑" w:hAnsi="微软雅黑" w:eastAsia="微软雅黑" w:cs="宋体"/>
          <w:sz w:val="24"/>
          <w:szCs w:val="24"/>
          <w:highlight w:val="none"/>
          <w:lang w:eastAsia="zh-CN"/>
        </w:rPr>
        <w:t>；如果不能正常连接，再按照信号强弱依次寻找其它</w:t>
      </w:r>
      <w:r>
        <w:rPr>
          <w:rFonts w:hint="default" w:ascii="微软雅黑" w:hAnsi="微软雅黑" w:eastAsia="微软雅黑" w:cs="宋体"/>
          <w:sz w:val="24"/>
          <w:szCs w:val="24"/>
          <w:highlight w:val="none"/>
          <w:lang w:eastAsia="zh-CN"/>
        </w:rPr>
        <w:t>集中器</w:t>
      </w:r>
      <w:r>
        <w:rPr>
          <w:rFonts w:hint="eastAsia" w:ascii="微软雅黑" w:hAnsi="微软雅黑" w:eastAsia="微软雅黑" w:cs="宋体"/>
          <w:sz w:val="24"/>
          <w:szCs w:val="24"/>
          <w:highlight w:val="none"/>
          <w:lang w:eastAsia="zh-CN"/>
        </w:rPr>
        <w:t>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highlight w:val="none"/>
          <w:lang w:eastAsia="zh-CN"/>
        </w:rPr>
        <w:t>在第一次被主模块拒绝后，从模块将延时</w:t>
      </w:r>
      <w:r>
        <w:rPr>
          <w:rFonts w:ascii="微软雅黑" w:hAnsi="微软雅黑" w:eastAsia="微软雅黑" w:cs="宋体"/>
          <w:sz w:val="24"/>
          <w:szCs w:val="24"/>
          <w:highlight w:val="none"/>
          <w:lang w:eastAsia="zh-CN"/>
        </w:rPr>
        <w:t>5</w:t>
      </w:r>
      <w:r>
        <w:rPr>
          <w:rFonts w:hint="eastAsia" w:ascii="微软雅黑" w:hAnsi="微软雅黑" w:eastAsia="微软雅黑" w:cs="宋体"/>
          <w:sz w:val="24"/>
          <w:szCs w:val="24"/>
          <w:highlight w:val="none"/>
          <w:lang w:eastAsia="zh-CN"/>
        </w:rPr>
        <w:t>分钟后重新注册，连续</w:t>
      </w:r>
      <w:r>
        <w:rPr>
          <w:rFonts w:hint="eastAsia" w:ascii="微软雅黑" w:hAnsi="微软雅黑" w:eastAsia="微软雅黑" w:cs="宋体"/>
          <w:sz w:val="24"/>
          <w:szCs w:val="24"/>
          <w:highlight w:val="none"/>
          <w:lang w:val="en-US" w:eastAsia="zh-CN"/>
        </w:rPr>
        <w:t>5</w:t>
      </w:r>
      <w:r>
        <w:rPr>
          <w:rFonts w:hint="eastAsia" w:ascii="微软雅黑" w:hAnsi="微软雅黑" w:eastAsia="微软雅黑" w:cs="宋体"/>
          <w:sz w:val="24"/>
          <w:szCs w:val="24"/>
          <w:highlight w:val="none"/>
          <w:lang w:eastAsia="zh-CN"/>
        </w:rPr>
        <w:t>次失败后，尝试其它主模块；或最大间隔30分钟后，启动下一轮注册申请。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每</w:t>
      </w:r>
      <w:r>
        <w:rPr>
          <w:rFonts w:hint="default" w:ascii="微软雅黑" w:hAnsi="微软雅黑" w:eastAsia="微软雅黑" w:cs="宋体"/>
          <w:sz w:val="24"/>
          <w:szCs w:val="24"/>
          <w:lang w:eastAsia="zh-CN"/>
        </w:rPr>
        <w:t>3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0分钟发送心跳给</w:t>
      </w:r>
      <w:r>
        <w:rPr>
          <w:rFonts w:hint="default" w:ascii="微软雅黑" w:hAnsi="微软雅黑" w:eastAsia="微软雅黑" w:cs="宋体"/>
          <w:sz w:val="24"/>
          <w:szCs w:val="24"/>
          <w:lang w:eastAsia="zh-CN"/>
        </w:rPr>
        <w:t>集中器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，如果连续丢失</w:t>
      </w:r>
      <w:r>
        <w:rPr>
          <w:rFonts w:hint="eastAsia" w:ascii="微软雅黑" w:hAnsi="微软雅黑" w:eastAsia="微软雅黑" w:cs="宋体"/>
          <w:sz w:val="24"/>
          <w:szCs w:val="24"/>
          <w:lang w:val="en-US" w:eastAsia="zh-CN"/>
        </w:rPr>
        <w:t>4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个心跳</w:t>
      </w:r>
      <w:r>
        <w:rPr>
          <w:rFonts w:hint="default" w:ascii="微软雅黑" w:hAnsi="微软雅黑" w:eastAsia="微软雅黑" w:cs="宋体"/>
          <w:sz w:val="24"/>
          <w:szCs w:val="24"/>
          <w:lang w:eastAsia="zh-CN"/>
        </w:rPr>
        <w:t>，则重新发起入网请求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；或连续</w:t>
      </w:r>
      <w:r>
        <w:rPr>
          <w:rFonts w:hint="eastAsia" w:ascii="微软雅黑" w:hAnsi="微软雅黑" w:eastAsia="微软雅黑" w:cs="宋体"/>
          <w:sz w:val="24"/>
          <w:szCs w:val="24"/>
          <w:lang w:val="en-US" w:eastAsia="zh-CN"/>
        </w:rPr>
        <w:t>90分钟未与主模块通信，</w:t>
      </w: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则</w:t>
      </w:r>
      <w:r>
        <w:rPr>
          <w:rFonts w:hint="default" w:ascii="微软雅黑" w:hAnsi="微软雅黑" w:eastAsia="微软雅黑" w:cs="宋体"/>
          <w:sz w:val="24"/>
          <w:szCs w:val="24"/>
          <w:lang w:eastAsia="zh-CN"/>
        </w:rPr>
        <w:t>主模块将该从模块置为“失联状态”</w:t>
      </w:r>
      <w:bookmarkStart w:id="3" w:name="_GoBack"/>
      <w:bookmarkEnd w:id="3"/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。该功能主要用于集中器档案变更、拆除替换或子表变更主机；前置机配合做集中器变更注册功能。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540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集中器或</w:t>
      </w:r>
      <w:r>
        <w:rPr>
          <w:rFonts w:ascii="微软雅黑" w:hAnsi="微软雅黑" w:eastAsia="微软雅黑" w:cs="宋体"/>
          <w:bCs/>
          <w:sz w:val="24"/>
          <w:szCs w:val="24"/>
          <w:lang w:eastAsia="zh-CN"/>
        </w:rPr>
        <w:t>Gateway</w:t>
      </w: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：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前置机可以启用或关闭自动注册功能。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上电或运行过程中，分析子表档案信息，更新白名单到主模块。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如接收到来自主模块的申请注册消息，则推动给前置机。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集中器收到来自前置机的确认信息，更新子表档案信息，并更新白名单到主模块。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540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前置机：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前置机将从集中器检测表计的注册请求。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如果确认新表可以接受，则更新表计信息（通信密钥，安全等级等）。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如果收到的注册信息是其它集中器已注册过的，且相关集中器未更换、拆除、故障等，则忽略请求。</w:t>
      </w:r>
    </w:p>
    <w:p>
      <w:pPr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left="1169" w:leftChars="355" w:hanging="424" w:hangingChars="177"/>
        <w:textAlignment w:val="auto"/>
        <w:rPr>
          <w:rFonts w:ascii="微软雅黑" w:hAnsi="微软雅黑" w:eastAsia="微软雅黑" w:cs="宋体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szCs w:val="24"/>
          <w:lang w:eastAsia="zh-CN"/>
        </w:rPr>
        <w:t>可手工调整子表档案配置。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Cs/>
          <w:sz w:val="24"/>
          <w:szCs w:val="24"/>
          <w:lang w:eastAsia="zh-CN"/>
        </w:rPr>
        <w:t>工作流：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textAlignment w:val="auto"/>
        <w:rPr>
          <w:rFonts w:hint="eastAsia" w:ascii="微软雅黑" w:hAnsi="微软雅黑" w:eastAsia="微软雅黑" w:cs="宋体"/>
          <w:sz w:val="24"/>
          <w:szCs w:val="24"/>
          <w:lang w:eastAsia="zh-CN"/>
        </w:rPr>
      </w:pPr>
      <w:r>
        <w:rPr>
          <w:rFonts w:ascii="微软雅黑" w:hAnsi="微软雅黑" w:eastAsia="微软雅黑" w:cs="宋体"/>
          <w:sz w:val="24"/>
          <w:szCs w:val="24"/>
          <w:lang w:eastAsia="zh-CN"/>
        </w:rPr>
        <w:fldChar w:fldCharType="begin"/>
      </w:r>
      <w:r>
        <w:rPr>
          <w:rFonts w:ascii="微软雅黑" w:hAnsi="微软雅黑" w:eastAsia="微软雅黑" w:cs="宋体"/>
          <w:sz w:val="24"/>
          <w:szCs w:val="24"/>
          <w:lang w:eastAsia="zh-CN"/>
        </w:rPr>
        <w:instrText xml:space="preserve"> INCLUDEPICTURE "/var/folders/z3/dmtj2wxs4wsd228x6xv287240000gn/T/com.microsoft.Word/WebArchiveCopyPasteTempFiles/cidAD4B75D3-833F-DC4A-BD69-E0D0B26B9F88.png" \* MERGEFORMATINET </w:instrText>
      </w:r>
      <w:r>
        <w:rPr>
          <w:rFonts w:ascii="微软雅黑" w:hAnsi="微软雅黑" w:eastAsia="微软雅黑" w:cs="宋体"/>
          <w:sz w:val="24"/>
          <w:szCs w:val="24"/>
          <w:lang w:eastAsia="zh-CN"/>
        </w:rPr>
        <w:fldChar w:fldCharType="separate"/>
      </w:r>
      <w:r>
        <w:rPr>
          <w:rFonts w:ascii="微软雅黑" w:hAnsi="微软雅黑" w:eastAsia="微软雅黑" w:cs="宋体"/>
          <w:sz w:val="24"/>
          <w:szCs w:val="24"/>
          <w:lang w:eastAsia="zh-CN"/>
        </w:rPr>
        <w:drawing>
          <wp:inline distT="0" distB="0" distL="114300" distR="114300">
            <wp:extent cx="5346700" cy="5003800"/>
            <wp:effectExtent l="0" t="0" r="6350" b="0"/>
            <wp:docPr id="1" name="图片 1" descr="/var/folders/z3/dmtj2wxs4wsd228x6xv287240000gn/T/com.microsoft.Word/WebArchiveCopyPasteTempFiles/cidAD4B75D3-833F-DC4A-BD69-E0D0B26B9F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var/folders/z3/dmtj2wxs4wsd228x6xv287240000gn/T/com.microsoft.Word/WebArchiveCopyPasteTempFiles/cidAD4B75D3-833F-DC4A-BD69-E0D0B26B9F8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宋体"/>
          <w:sz w:val="24"/>
          <w:szCs w:val="24"/>
          <w:lang w:eastAsia="zh-CN"/>
        </w:rPr>
        <w:fldChar w:fldCharType="end"/>
      </w:r>
    </w:p>
    <w:p>
      <w:pPr>
        <w:pStyle w:val="6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0" w:after="0"/>
        <w:ind w:firstLine="0" w:firstLineChars="0"/>
        <w:textAlignment w:val="auto"/>
        <w:rPr>
          <w:rFonts w:ascii="微软雅黑" w:hAnsi="微软雅黑" w:eastAsia="微软雅黑" w:cs="Arial"/>
          <w:iCs/>
          <w:sz w:val="21"/>
          <w:szCs w:val="21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after="0" w:line="360" w:lineRule="auto"/>
        <w:textAlignment w:val="auto"/>
        <w:outlineLvl w:val="0"/>
        <w:rPr>
          <w:rFonts w:ascii="微软雅黑" w:hAnsi="微软雅黑" w:eastAsia="微软雅黑" w:cs="Arial"/>
          <w:sz w:val="24"/>
          <w:szCs w:val="24"/>
          <w:lang w:eastAsia="zh-CN"/>
        </w:rPr>
      </w:pPr>
      <w:bookmarkStart w:id="2" w:name="_Toc522545573"/>
      <w:r>
        <w:rPr>
          <w:rFonts w:hint="eastAsia" w:ascii="微软雅黑" w:hAnsi="微软雅黑" w:eastAsia="微软雅黑" w:cs="Arial"/>
          <w:sz w:val="24"/>
          <w:szCs w:val="24"/>
          <w:lang w:val="en-US" w:eastAsia="zh-CN"/>
        </w:rPr>
        <w:t>G3-PLC通信</w:t>
      </w:r>
      <w:r>
        <w:rPr>
          <w:rFonts w:hint="eastAsia" w:ascii="微软雅黑" w:hAnsi="微软雅黑" w:eastAsia="微软雅黑" w:cs="Arial"/>
          <w:sz w:val="24"/>
          <w:szCs w:val="24"/>
          <w:lang w:eastAsia="zh-CN"/>
        </w:rPr>
        <w:t>加密</w:t>
      </w:r>
      <w:bookmarkEnd w:id="2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EAP-PSK加密认证方案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t>如果要用到PSK对电表进行入网加密认证，一个有效的表档案必须包括表的serial number与电表的PSK。集成商或客户在电表出厂前，就要把这两个参数告诉电表生产厂家，电表在出厂前，这两个参数被预先设置到电表中。电表PLC模块从电表上读取这两个值，并携带这两个值去向集中器模块发起入网注册申请。集中器模块中如已保存这块表的档案(档案中必须包含电表的serial number与电表的PSK)，将会对这块表进行双向加密认证，下面是电表模块加入PLC网络流程图：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114300" distR="114300">
            <wp:extent cx="4979670" cy="4622800"/>
            <wp:effectExtent l="0" t="0" r="11430" b="6350"/>
            <wp:docPr id="3" name="图片 2" descr="C:\Documents and Settings\w01577\My Documents\SisenMESS\W01577\TempFiles\201711\0ecec71b531448558391d59f9caafd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Documents and Settings\w01577\My Documents\SisenMESS\W01577\TempFiles\201711\0ecec71b531448558391d59f9caafd4a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上图中入网认证需要交互的mes1,mes2,mes3,mes4产生流程图如下：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114300" distR="114300">
            <wp:extent cx="5192395" cy="4799330"/>
            <wp:effectExtent l="0" t="0" r="8255" b="1270"/>
            <wp:docPr id="2" name="图片 3" descr="C:\Documents and Settings\w01577\My Documents\SisenMESS\W01577\TempFiles\201711\cf1966af23ec4edf8681c779777e0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Documents and Settings\w01577\My Documents\SisenMESS\W01577\TempFiles\201711\cf1966af23ec4edf8681c779777e0a28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上图的EAP Peer对应我们的电表模块，EAP Server 对应我们的集中器模块。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0"/>
        <w:ind w:firstLine="566" w:firstLineChars="236"/>
        <w:textAlignment w:val="auto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由于PSK与电表serial number 是成对出现的，是入网认证过程的必备材料，因此PSK也应该保存在电表上，保持与模块无关。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现场更换模块，将不需要重设PSK。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UniversS 45 Ligh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003"/>
    <w:multiLevelType w:val="multilevel"/>
    <w:tmpl w:val="2D597003"/>
    <w:lvl w:ilvl="0" w:tentative="0">
      <w:start w:val="1"/>
      <w:numFmt w:val="decimal"/>
      <w:lvlText w:val="%1.0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4A3F16F8"/>
    <w:multiLevelType w:val="multilevel"/>
    <w:tmpl w:val="4A3F16F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6761BE5"/>
    <w:multiLevelType w:val="multilevel"/>
    <w:tmpl w:val="66761BE5"/>
    <w:lvl w:ilvl="0" w:tentative="0">
      <w:start w:val="1"/>
      <w:numFmt w:val="upperLetter"/>
      <w:lvlText w:val="%1.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A0212"/>
    <w:rsid w:val="1CA8134E"/>
    <w:rsid w:val="22EA0212"/>
    <w:rsid w:val="2541361E"/>
    <w:rsid w:val="6BDAF97C"/>
    <w:rsid w:val="6EB7508D"/>
    <w:rsid w:val="7F5F5BA7"/>
    <w:rsid w:val="B9F763B7"/>
    <w:rsid w:val="CFFF9214"/>
    <w:rsid w:val="EFFFFE2E"/>
    <w:rsid w:val="F1D54E04"/>
    <w:rsid w:val="FFF5A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2018-09-05T13:39:00Z</dcterms:created>
  <dc:creator>Chen Yong</dc:creator>
  <cp:lastModifiedBy>chenyong</cp:lastModifiedBy>
  <dcterms:modified xsi:type="dcterms:W3CDTF">2018-09-05T20:07:51Z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