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42222" w14:textId="5D72D1FA" w:rsidR="00CA3059" w:rsidRDefault="00CA3059" w:rsidP="006D1DD1">
      <w:pPr>
        <w:pStyle w:val="Heading1"/>
        <w:jc w:val="center"/>
      </w:pPr>
      <w:r>
        <w:t>ATELIER 3</w:t>
      </w:r>
    </w:p>
    <w:p w14:paraId="02FE8AAA" w14:textId="4C4F7D1E" w:rsidR="00CA3059" w:rsidRDefault="00092118" w:rsidP="00092118">
      <w:pPr>
        <w:pStyle w:val="Heading2"/>
        <w:jc w:val="both"/>
      </w:pPr>
      <w:r w:rsidRPr="00F300A2">
        <w:drawing>
          <wp:anchor distT="0" distB="0" distL="114300" distR="114300" simplePos="0" relativeHeight="251658240" behindDoc="0" locked="0" layoutInCell="1" allowOverlap="1" wp14:anchorId="5FCD4941" wp14:editId="0D615B58">
            <wp:simplePos x="0" y="0"/>
            <wp:positionH relativeFrom="column">
              <wp:posOffset>-333423</wp:posOffset>
            </wp:positionH>
            <wp:positionV relativeFrom="paragraph">
              <wp:posOffset>535029</wp:posOffset>
            </wp:positionV>
            <wp:extent cx="6636385" cy="6026785"/>
            <wp:effectExtent l="57150" t="57150" r="88265" b="88265"/>
            <wp:wrapSquare wrapText="bothSides"/>
            <wp:docPr id="374309646"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9646" name="Picture 1" descr="A diagram of a serv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636385" cy="602678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A3059">
        <w:t>Architecture</w:t>
      </w:r>
    </w:p>
    <w:p w14:paraId="42FCEF1F" w14:textId="51EB20F0" w:rsidR="00A94B92" w:rsidRPr="00F300A2" w:rsidRDefault="00CA3059" w:rsidP="001D4F0D">
      <w:pPr>
        <w:pStyle w:val="Caption"/>
        <w:jc w:val="center"/>
        <w:rPr>
          <w:lang w:val="fr-FR"/>
        </w:rPr>
      </w:pPr>
      <w:r w:rsidRPr="00F300A2">
        <w:rPr>
          <w:lang w:val="fr-FR"/>
        </w:rPr>
        <w:t xml:space="preserve">Figure </w:t>
      </w:r>
      <w:r>
        <w:fldChar w:fldCharType="begin"/>
      </w:r>
      <w:r w:rsidRPr="00F300A2">
        <w:rPr>
          <w:lang w:val="fr-FR"/>
        </w:rPr>
        <w:instrText xml:space="preserve"> SEQ Figure \* ARABIC </w:instrText>
      </w:r>
      <w:r>
        <w:fldChar w:fldCharType="separate"/>
      </w:r>
      <w:r w:rsidRPr="00F300A2">
        <w:rPr>
          <w:noProof/>
          <w:lang w:val="fr-FR"/>
        </w:rPr>
        <w:t>1</w:t>
      </w:r>
      <w:r>
        <w:fldChar w:fldCharType="end"/>
      </w:r>
      <w:r w:rsidRPr="00F300A2">
        <w:rPr>
          <w:lang w:val="fr-FR"/>
        </w:rPr>
        <w:t xml:space="preserve"> - Diagramme d'architecture MicroService</w:t>
      </w:r>
    </w:p>
    <w:p w14:paraId="494C456C" w14:textId="77777777" w:rsidR="00CA3059" w:rsidRPr="00F300A2" w:rsidRDefault="00CA3059" w:rsidP="0048519A">
      <w:pPr>
        <w:jc w:val="both"/>
        <w:rPr>
          <w:rFonts w:asciiTheme="majorHAnsi" w:eastAsiaTheme="majorEastAsia" w:hAnsiTheme="majorHAnsi" w:cstheme="majorBidi"/>
          <w:color w:val="2F5496" w:themeColor="accent1" w:themeShade="BF"/>
          <w:sz w:val="32"/>
          <w:szCs w:val="32"/>
          <w:lang w:val="fr-FR"/>
        </w:rPr>
      </w:pPr>
      <w:r w:rsidRPr="00F300A2">
        <w:rPr>
          <w:lang w:val="fr-FR"/>
        </w:rPr>
        <w:br w:type="page"/>
      </w:r>
    </w:p>
    <w:p w14:paraId="03EC8593" w14:textId="08052AEC" w:rsidR="00CA3059" w:rsidRPr="00F300A2" w:rsidRDefault="00CA3059" w:rsidP="0048519A">
      <w:pPr>
        <w:pStyle w:val="Heading2"/>
        <w:jc w:val="both"/>
        <w:rPr>
          <w:lang w:val="fr-FR"/>
        </w:rPr>
      </w:pPr>
      <w:r w:rsidRPr="00F300A2">
        <w:rPr>
          <w:lang w:val="fr-FR"/>
        </w:rPr>
        <w:lastRenderedPageBreak/>
        <w:t>Microservice Vs SOA</w:t>
      </w:r>
    </w:p>
    <w:p w14:paraId="00934CF4" w14:textId="77777777" w:rsidR="00CC1446" w:rsidRPr="00CC1446" w:rsidRDefault="00CC1446" w:rsidP="0048519A">
      <w:pPr>
        <w:pStyle w:val="FirstParagraph"/>
        <w:jc w:val="both"/>
        <w:rPr>
          <w:lang w:val="fr-FR"/>
        </w:rPr>
      </w:pPr>
      <w:r w:rsidRPr="00CC1446">
        <w:rPr>
          <w:b/>
          <w:bCs/>
          <w:lang w:val="fr-FR"/>
        </w:rPr>
        <w:t>Architecture Microservices</w:t>
      </w:r>
    </w:p>
    <w:p w14:paraId="2DFBD926" w14:textId="77777777" w:rsidR="00CC1446" w:rsidRPr="00CC1446" w:rsidRDefault="00CC1446" w:rsidP="0048519A">
      <w:pPr>
        <w:pStyle w:val="BodyText"/>
        <w:jc w:val="both"/>
        <w:rPr>
          <w:lang w:val="fr-FR"/>
        </w:rPr>
      </w:pPr>
      <w:r w:rsidRPr="00CC1446">
        <w:rPr>
          <w:lang w:val="fr-FR"/>
        </w:rPr>
        <w:t>L’architecture microservices se caractérise par une approche modulaire où chaque service est indépendant et responsable d’une fonction spécifique. Chaque microservice peut être développé, déployé et mis à jour de manière autonome, ce qui permet une grande flexibilité et agilité dans le développement logiciel. Les microservices communiquent entre eux via des API légères, souvent HTTP/REST, ce qui simplifie les intégrations. Cette indépendance facilite également le déploiement continu et la scalabilité, car chaque service peut être mis à l’échelle indépendamment des autres.</w:t>
      </w:r>
    </w:p>
    <w:p w14:paraId="31C65C9A" w14:textId="77777777" w:rsidR="00CC1446" w:rsidRDefault="00CC1446" w:rsidP="0048519A">
      <w:pPr>
        <w:pStyle w:val="BodyText"/>
        <w:jc w:val="both"/>
      </w:pPr>
      <w:r>
        <w:rPr>
          <w:b/>
          <w:bCs/>
        </w:rPr>
        <w:t>Architecture SOA (Service-Oriented Architecture)</w:t>
      </w:r>
    </w:p>
    <w:p w14:paraId="21DB3E1A" w14:textId="06183F61" w:rsidR="00CC1446" w:rsidRPr="00CC1446" w:rsidRDefault="00CC1446" w:rsidP="0048519A">
      <w:pPr>
        <w:pStyle w:val="BodyText"/>
        <w:jc w:val="both"/>
        <w:rPr>
          <w:lang w:val="fr-FR"/>
        </w:rPr>
      </w:pPr>
      <w:r w:rsidRPr="00CC1446">
        <w:rPr>
          <w:lang w:val="fr-FR"/>
        </w:rPr>
        <w:t xml:space="preserve">L’architecture orientée services (SOA) est une approche de conception où les services sont exposés via des interfaces bien définies, généralement en utilisant des protocoles de communication tels que </w:t>
      </w:r>
      <w:r w:rsidR="00C260FD">
        <w:rPr>
          <w:lang w:val="fr-FR"/>
        </w:rPr>
        <w:t>REST</w:t>
      </w:r>
      <w:r w:rsidRPr="00CC1446">
        <w:rPr>
          <w:lang w:val="fr-FR"/>
        </w:rPr>
        <w:t>. SOA se concentre sur l’intégration d’applications disparates, souvent héritées, et sur la réutilisation des services existants. Les services dans SOA sont plus gros et plus complets que les microservices, englobant souvent plusieurs fonctionnalités liées. SOA favorise l’interopérabilité et l’intégration entre différents systèmes d’entreprise, souvent à travers un bus de service (ESB) qui facilite la communication et la gestion des services.</w:t>
      </w:r>
    </w:p>
    <w:p w14:paraId="72EA2579" w14:textId="6C089BC4" w:rsidR="00CC1446" w:rsidRPr="00CC1446" w:rsidRDefault="00CC1446" w:rsidP="0048519A">
      <w:pPr>
        <w:pStyle w:val="BodyText"/>
        <w:jc w:val="both"/>
        <w:rPr>
          <w:b/>
          <w:bCs/>
        </w:rPr>
      </w:pPr>
      <w:bookmarkStart w:id="0" w:name="X73e3e0ef8fe04fdb1a53162ff8013b5cee5246a"/>
      <w:r w:rsidRPr="00CC1446">
        <w:rPr>
          <w:b/>
          <w:bCs/>
        </w:rPr>
        <w:t>Avantages et Différences</w:t>
      </w:r>
    </w:p>
    <w:tbl>
      <w:tblPr>
        <w:tblStyle w:val="Table"/>
        <w:tblW w:w="5000" w:type="pct"/>
        <w:tblLook w:val="0020" w:firstRow="1" w:lastRow="0" w:firstColumn="0" w:lastColumn="0" w:noHBand="0" w:noVBand="0"/>
      </w:tblPr>
      <w:tblGrid>
        <w:gridCol w:w="2058"/>
        <w:gridCol w:w="3427"/>
        <w:gridCol w:w="3587"/>
      </w:tblGrid>
      <w:tr w:rsidR="00CC1446" w14:paraId="1285531B" w14:textId="77777777" w:rsidTr="00A67380">
        <w:trPr>
          <w:cnfStyle w:val="100000000000" w:firstRow="1" w:lastRow="0" w:firstColumn="0" w:lastColumn="0" w:oddVBand="0" w:evenVBand="0" w:oddHBand="0" w:evenHBand="0" w:firstRowFirstColumn="0" w:firstRowLastColumn="0" w:lastRowFirstColumn="0" w:lastRowLastColumn="0"/>
          <w:tblHeader/>
        </w:trPr>
        <w:tc>
          <w:tcPr>
            <w:tcW w:w="0" w:type="auto"/>
          </w:tcPr>
          <w:p w14:paraId="1BAC9A18" w14:textId="77777777" w:rsidR="00CC1446" w:rsidRDefault="00CC1446" w:rsidP="0048519A">
            <w:pPr>
              <w:pStyle w:val="Compact"/>
              <w:jc w:val="both"/>
            </w:pPr>
            <w:r>
              <w:rPr>
                <w:b/>
                <w:bCs/>
              </w:rPr>
              <w:t>Critère</w:t>
            </w:r>
          </w:p>
        </w:tc>
        <w:tc>
          <w:tcPr>
            <w:tcW w:w="0" w:type="auto"/>
          </w:tcPr>
          <w:p w14:paraId="47A041A4" w14:textId="77777777" w:rsidR="00CC1446" w:rsidRDefault="00CC1446" w:rsidP="0048519A">
            <w:pPr>
              <w:pStyle w:val="Compact"/>
              <w:jc w:val="both"/>
            </w:pPr>
            <w:r>
              <w:rPr>
                <w:b/>
                <w:bCs/>
              </w:rPr>
              <w:t>Microservices</w:t>
            </w:r>
          </w:p>
        </w:tc>
        <w:tc>
          <w:tcPr>
            <w:tcW w:w="0" w:type="auto"/>
          </w:tcPr>
          <w:p w14:paraId="6A030FE2" w14:textId="77777777" w:rsidR="00CC1446" w:rsidRDefault="00CC1446" w:rsidP="0048519A">
            <w:pPr>
              <w:pStyle w:val="Compact"/>
              <w:jc w:val="both"/>
            </w:pPr>
            <w:r>
              <w:rPr>
                <w:b/>
                <w:bCs/>
              </w:rPr>
              <w:t>SOA</w:t>
            </w:r>
          </w:p>
        </w:tc>
      </w:tr>
      <w:tr w:rsidR="00CC1446" w:rsidRPr="00CC1446" w14:paraId="22B6423C" w14:textId="77777777" w:rsidTr="00A67380">
        <w:tc>
          <w:tcPr>
            <w:tcW w:w="0" w:type="auto"/>
          </w:tcPr>
          <w:p w14:paraId="1FD1EBE8" w14:textId="77777777" w:rsidR="00CC1446" w:rsidRDefault="00CC1446" w:rsidP="0048519A">
            <w:pPr>
              <w:pStyle w:val="Compact"/>
              <w:jc w:val="both"/>
            </w:pPr>
            <w:r>
              <w:rPr>
                <w:b/>
                <w:bCs/>
              </w:rPr>
              <w:t>Granularité</w:t>
            </w:r>
          </w:p>
        </w:tc>
        <w:tc>
          <w:tcPr>
            <w:tcW w:w="0" w:type="auto"/>
          </w:tcPr>
          <w:p w14:paraId="5353E67E" w14:textId="77777777" w:rsidR="00CC1446" w:rsidRPr="00CC1446" w:rsidRDefault="00CC1446" w:rsidP="0048519A">
            <w:pPr>
              <w:pStyle w:val="Compact"/>
              <w:jc w:val="both"/>
              <w:rPr>
                <w:lang w:val="fr-FR"/>
              </w:rPr>
            </w:pPr>
            <w:r w:rsidRPr="00CC1446">
              <w:rPr>
                <w:lang w:val="fr-FR"/>
              </w:rPr>
              <w:t>Services très fins et spécialisés.</w:t>
            </w:r>
          </w:p>
        </w:tc>
        <w:tc>
          <w:tcPr>
            <w:tcW w:w="0" w:type="auto"/>
          </w:tcPr>
          <w:p w14:paraId="54BE46FD" w14:textId="77777777" w:rsidR="00CC1446" w:rsidRPr="00CC1446" w:rsidRDefault="00CC1446" w:rsidP="0048519A">
            <w:pPr>
              <w:pStyle w:val="Compact"/>
              <w:jc w:val="both"/>
              <w:rPr>
                <w:lang w:val="fr-FR"/>
              </w:rPr>
            </w:pPr>
            <w:r w:rsidRPr="00CC1446">
              <w:rPr>
                <w:lang w:val="fr-FR"/>
              </w:rPr>
              <w:t>Services plus larges, souvent couvrant plusieurs fonctionnalités liées.</w:t>
            </w:r>
          </w:p>
        </w:tc>
      </w:tr>
      <w:tr w:rsidR="00CC1446" w:rsidRPr="00CC1446" w14:paraId="0F5041A1" w14:textId="77777777" w:rsidTr="00A67380">
        <w:tc>
          <w:tcPr>
            <w:tcW w:w="0" w:type="auto"/>
          </w:tcPr>
          <w:p w14:paraId="4517C7F8" w14:textId="77777777" w:rsidR="00CC1446" w:rsidRDefault="00CC1446" w:rsidP="0048519A">
            <w:pPr>
              <w:pStyle w:val="Compact"/>
              <w:jc w:val="both"/>
            </w:pPr>
            <w:r>
              <w:rPr>
                <w:b/>
                <w:bCs/>
              </w:rPr>
              <w:t>Indépendance des services</w:t>
            </w:r>
          </w:p>
        </w:tc>
        <w:tc>
          <w:tcPr>
            <w:tcW w:w="0" w:type="auto"/>
          </w:tcPr>
          <w:p w14:paraId="3C5F5C92" w14:textId="77777777" w:rsidR="00CC1446" w:rsidRPr="00CC1446" w:rsidRDefault="00CC1446" w:rsidP="0048519A">
            <w:pPr>
              <w:pStyle w:val="Compact"/>
              <w:jc w:val="both"/>
              <w:rPr>
                <w:lang w:val="fr-FR"/>
              </w:rPr>
            </w:pPr>
            <w:r w:rsidRPr="00CC1446">
              <w:rPr>
                <w:lang w:val="fr-FR"/>
              </w:rPr>
              <w:t>Services totalement indépendants les uns des autres.</w:t>
            </w:r>
          </w:p>
        </w:tc>
        <w:tc>
          <w:tcPr>
            <w:tcW w:w="0" w:type="auto"/>
          </w:tcPr>
          <w:p w14:paraId="316F20F6" w14:textId="77777777" w:rsidR="00CC1446" w:rsidRPr="00CC1446" w:rsidRDefault="00CC1446" w:rsidP="0048519A">
            <w:pPr>
              <w:pStyle w:val="Compact"/>
              <w:jc w:val="both"/>
              <w:rPr>
                <w:lang w:val="fr-FR"/>
              </w:rPr>
            </w:pPr>
            <w:r w:rsidRPr="00CC1446">
              <w:rPr>
                <w:lang w:val="fr-FR"/>
              </w:rPr>
              <w:t>Services interconnectés mais souvent dépendants via un bus de service (ESB).</w:t>
            </w:r>
          </w:p>
        </w:tc>
      </w:tr>
      <w:tr w:rsidR="00CC1446" w:rsidRPr="00CC1446" w14:paraId="782F89B2" w14:textId="77777777" w:rsidTr="00A67380">
        <w:tc>
          <w:tcPr>
            <w:tcW w:w="0" w:type="auto"/>
          </w:tcPr>
          <w:p w14:paraId="14F2832D" w14:textId="77777777" w:rsidR="00CC1446" w:rsidRDefault="00CC1446" w:rsidP="0048519A">
            <w:pPr>
              <w:pStyle w:val="Compact"/>
              <w:jc w:val="both"/>
            </w:pPr>
            <w:r>
              <w:rPr>
                <w:b/>
                <w:bCs/>
              </w:rPr>
              <w:t>Développement</w:t>
            </w:r>
          </w:p>
        </w:tc>
        <w:tc>
          <w:tcPr>
            <w:tcW w:w="0" w:type="auto"/>
          </w:tcPr>
          <w:p w14:paraId="369F05FA" w14:textId="77777777" w:rsidR="00CC1446" w:rsidRPr="00CC1446" w:rsidRDefault="00CC1446" w:rsidP="0048519A">
            <w:pPr>
              <w:pStyle w:val="Compact"/>
              <w:jc w:val="both"/>
              <w:rPr>
                <w:lang w:val="fr-FR"/>
              </w:rPr>
            </w:pPr>
            <w:r w:rsidRPr="00CC1446">
              <w:rPr>
                <w:lang w:val="fr-FR"/>
              </w:rPr>
              <w:t>Permet le développement autonome de chaque service avec des équipes dédiées.</w:t>
            </w:r>
          </w:p>
        </w:tc>
        <w:tc>
          <w:tcPr>
            <w:tcW w:w="0" w:type="auto"/>
          </w:tcPr>
          <w:p w14:paraId="0DB51D3E" w14:textId="77777777" w:rsidR="00CC1446" w:rsidRPr="00CC1446" w:rsidRDefault="00CC1446" w:rsidP="0048519A">
            <w:pPr>
              <w:pStyle w:val="Compact"/>
              <w:jc w:val="both"/>
              <w:rPr>
                <w:lang w:val="fr-FR"/>
              </w:rPr>
            </w:pPr>
            <w:r w:rsidRPr="00CC1446">
              <w:rPr>
                <w:lang w:val="fr-FR"/>
              </w:rPr>
              <w:t>Favorise la réutilisation de services existants pour une intégration facile.</w:t>
            </w:r>
          </w:p>
        </w:tc>
      </w:tr>
      <w:tr w:rsidR="00CC1446" w:rsidRPr="00CC1446" w14:paraId="099DA2C4" w14:textId="77777777" w:rsidTr="00A67380">
        <w:tc>
          <w:tcPr>
            <w:tcW w:w="0" w:type="auto"/>
          </w:tcPr>
          <w:p w14:paraId="52C25804" w14:textId="77777777" w:rsidR="00CC1446" w:rsidRDefault="00CC1446" w:rsidP="0048519A">
            <w:pPr>
              <w:pStyle w:val="Compact"/>
              <w:jc w:val="both"/>
            </w:pPr>
            <w:r>
              <w:rPr>
                <w:b/>
                <w:bCs/>
              </w:rPr>
              <w:t>Scalabilité</w:t>
            </w:r>
          </w:p>
        </w:tc>
        <w:tc>
          <w:tcPr>
            <w:tcW w:w="0" w:type="auto"/>
          </w:tcPr>
          <w:p w14:paraId="04B77017" w14:textId="77777777" w:rsidR="00CC1446" w:rsidRPr="00CC1446" w:rsidRDefault="00CC1446" w:rsidP="0048519A">
            <w:pPr>
              <w:pStyle w:val="Compact"/>
              <w:jc w:val="both"/>
              <w:rPr>
                <w:lang w:val="fr-FR"/>
              </w:rPr>
            </w:pPr>
            <w:r w:rsidRPr="00CC1446">
              <w:rPr>
                <w:lang w:val="fr-FR"/>
              </w:rPr>
              <w:t>Échelle fine, chaque service peut être mis à l’échelle indépendamment.</w:t>
            </w:r>
          </w:p>
        </w:tc>
        <w:tc>
          <w:tcPr>
            <w:tcW w:w="0" w:type="auto"/>
          </w:tcPr>
          <w:p w14:paraId="0C53E5A5" w14:textId="77777777" w:rsidR="00CC1446" w:rsidRPr="00CC1446" w:rsidRDefault="00CC1446" w:rsidP="0048519A">
            <w:pPr>
              <w:pStyle w:val="Compact"/>
              <w:jc w:val="both"/>
              <w:rPr>
                <w:lang w:val="fr-FR"/>
              </w:rPr>
            </w:pPr>
            <w:r w:rsidRPr="00CC1446">
              <w:rPr>
                <w:lang w:val="fr-FR"/>
              </w:rPr>
              <w:t>Échelle plus grossière, nécessite souvent de mettre à l’échelle des composants plus larges.</w:t>
            </w:r>
          </w:p>
        </w:tc>
      </w:tr>
      <w:tr w:rsidR="00CC1446" w:rsidRPr="00CC1446" w14:paraId="70135C53" w14:textId="77777777" w:rsidTr="00A67380">
        <w:tc>
          <w:tcPr>
            <w:tcW w:w="0" w:type="auto"/>
          </w:tcPr>
          <w:p w14:paraId="7F79F90A" w14:textId="77777777" w:rsidR="00CC1446" w:rsidRDefault="00CC1446" w:rsidP="0048519A">
            <w:pPr>
              <w:pStyle w:val="Compact"/>
              <w:jc w:val="both"/>
            </w:pPr>
            <w:r>
              <w:rPr>
                <w:b/>
                <w:bCs/>
              </w:rPr>
              <w:t>Déploiement</w:t>
            </w:r>
          </w:p>
        </w:tc>
        <w:tc>
          <w:tcPr>
            <w:tcW w:w="0" w:type="auto"/>
          </w:tcPr>
          <w:p w14:paraId="0553EB8C" w14:textId="77777777" w:rsidR="00CC1446" w:rsidRPr="00CC1446" w:rsidRDefault="00CC1446" w:rsidP="0048519A">
            <w:pPr>
              <w:pStyle w:val="Compact"/>
              <w:jc w:val="both"/>
              <w:rPr>
                <w:lang w:val="fr-FR"/>
              </w:rPr>
            </w:pPr>
            <w:r w:rsidRPr="00CC1446">
              <w:rPr>
                <w:lang w:val="fr-FR"/>
              </w:rPr>
              <w:t>Déploiement continu facilité grâce à l’autonomie des services.</w:t>
            </w:r>
          </w:p>
        </w:tc>
        <w:tc>
          <w:tcPr>
            <w:tcW w:w="0" w:type="auto"/>
          </w:tcPr>
          <w:p w14:paraId="7F801786" w14:textId="77777777" w:rsidR="00CC1446" w:rsidRPr="00CC1446" w:rsidRDefault="00CC1446" w:rsidP="0048519A">
            <w:pPr>
              <w:pStyle w:val="Compact"/>
              <w:jc w:val="both"/>
              <w:rPr>
                <w:lang w:val="fr-FR"/>
              </w:rPr>
            </w:pPr>
            <w:r w:rsidRPr="00CC1446">
              <w:rPr>
                <w:lang w:val="fr-FR"/>
              </w:rPr>
              <w:t>Déploiement plus complexe en raison des interconnexions des services.</w:t>
            </w:r>
          </w:p>
        </w:tc>
      </w:tr>
      <w:tr w:rsidR="00CC1446" w:rsidRPr="00CC1446" w14:paraId="4EBAA253" w14:textId="77777777" w:rsidTr="00A67380">
        <w:tc>
          <w:tcPr>
            <w:tcW w:w="0" w:type="auto"/>
          </w:tcPr>
          <w:p w14:paraId="136C4998" w14:textId="77777777" w:rsidR="00CC1446" w:rsidRDefault="00CC1446" w:rsidP="0048519A">
            <w:pPr>
              <w:pStyle w:val="Compact"/>
              <w:jc w:val="both"/>
            </w:pPr>
            <w:r>
              <w:rPr>
                <w:b/>
                <w:bCs/>
              </w:rPr>
              <w:t>Interopérabilité</w:t>
            </w:r>
          </w:p>
        </w:tc>
        <w:tc>
          <w:tcPr>
            <w:tcW w:w="0" w:type="auto"/>
          </w:tcPr>
          <w:p w14:paraId="3C500A2F" w14:textId="77777777" w:rsidR="00CC1446" w:rsidRPr="00CC1446" w:rsidRDefault="00CC1446" w:rsidP="0048519A">
            <w:pPr>
              <w:pStyle w:val="Compact"/>
              <w:jc w:val="both"/>
              <w:rPr>
                <w:lang w:val="fr-FR"/>
              </w:rPr>
            </w:pPr>
            <w:r w:rsidRPr="00CC1446">
              <w:rPr>
                <w:lang w:val="fr-FR"/>
              </w:rPr>
              <w:t>API légères (souvent HTTP/REST), facilitant l’intégration avec d’autres services.</w:t>
            </w:r>
          </w:p>
        </w:tc>
        <w:tc>
          <w:tcPr>
            <w:tcW w:w="0" w:type="auto"/>
          </w:tcPr>
          <w:p w14:paraId="65A38F3A" w14:textId="77777777" w:rsidR="00CC1446" w:rsidRPr="00CC1446" w:rsidRDefault="00CC1446" w:rsidP="0048519A">
            <w:pPr>
              <w:pStyle w:val="Compact"/>
              <w:jc w:val="both"/>
              <w:rPr>
                <w:lang w:val="fr-FR"/>
              </w:rPr>
            </w:pPr>
            <w:r w:rsidRPr="00CC1446">
              <w:rPr>
                <w:lang w:val="fr-FR"/>
              </w:rPr>
              <w:t>Utilise des protocoles standardisés pour assurer l’interopérabilité entre systèmes divers.</w:t>
            </w:r>
          </w:p>
        </w:tc>
      </w:tr>
      <w:tr w:rsidR="00CC1446" w:rsidRPr="00CC1446" w14:paraId="08EDCDB5" w14:textId="77777777" w:rsidTr="00A67380">
        <w:tc>
          <w:tcPr>
            <w:tcW w:w="0" w:type="auto"/>
          </w:tcPr>
          <w:p w14:paraId="63FAA63D" w14:textId="77777777" w:rsidR="00CC1446" w:rsidRDefault="00CC1446" w:rsidP="0048519A">
            <w:pPr>
              <w:pStyle w:val="Compact"/>
              <w:jc w:val="both"/>
            </w:pPr>
            <w:r>
              <w:rPr>
                <w:b/>
                <w:bCs/>
              </w:rPr>
              <w:t>Maintenance</w:t>
            </w:r>
          </w:p>
        </w:tc>
        <w:tc>
          <w:tcPr>
            <w:tcW w:w="0" w:type="auto"/>
          </w:tcPr>
          <w:p w14:paraId="21C86F11" w14:textId="77777777" w:rsidR="00CC1446" w:rsidRPr="00CC1446" w:rsidRDefault="00CC1446" w:rsidP="0048519A">
            <w:pPr>
              <w:pStyle w:val="Compact"/>
              <w:jc w:val="both"/>
              <w:rPr>
                <w:lang w:val="fr-FR"/>
              </w:rPr>
            </w:pPr>
            <w:r w:rsidRPr="00CC1446">
              <w:rPr>
                <w:lang w:val="fr-FR"/>
              </w:rPr>
              <w:t>Facilité de mise à jour et de maintenance de chaque service individuellement.</w:t>
            </w:r>
          </w:p>
        </w:tc>
        <w:tc>
          <w:tcPr>
            <w:tcW w:w="0" w:type="auto"/>
          </w:tcPr>
          <w:p w14:paraId="2159B126" w14:textId="77777777" w:rsidR="00CC1446" w:rsidRPr="00CC1446" w:rsidRDefault="00CC1446" w:rsidP="0048519A">
            <w:pPr>
              <w:pStyle w:val="Compact"/>
              <w:jc w:val="both"/>
              <w:rPr>
                <w:lang w:val="fr-FR"/>
              </w:rPr>
            </w:pPr>
            <w:r w:rsidRPr="00CC1446">
              <w:rPr>
                <w:lang w:val="fr-FR"/>
              </w:rPr>
              <w:t>Maintenance plus complexe due à l’interdépendance des services.</w:t>
            </w:r>
          </w:p>
        </w:tc>
      </w:tr>
    </w:tbl>
    <w:p w14:paraId="25F9567F" w14:textId="77777777" w:rsidR="00CC1446" w:rsidRPr="00CC1446" w:rsidRDefault="00CC1446" w:rsidP="0048519A">
      <w:pPr>
        <w:pStyle w:val="BodyText"/>
        <w:jc w:val="both"/>
        <w:rPr>
          <w:lang w:val="fr-FR"/>
        </w:rPr>
      </w:pPr>
      <w:r w:rsidRPr="00CC1446">
        <w:rPr>
          <w:lang w:val="fr-FR"/>
        </w:rPr>
        <w:lastRenderedPageBreak/>
        <w:t>En résumé, l’architecture microservices offre une grande flexibilité et scalabilité, particulièrement adaptée aux environnements de développement agiles et aux systèmes nécessitant des déploiements fréquents et indépendants. L’architecture SOA, en revanche, est plus adaptée aux grandes entreprises cherchant à intégrer divers systèmes hérités et à maximiser la réutilisation des services existants. Les choix entre ces architectures dépendent des besoins spécifiques de l’organisation en termes de scalabilité, flexibilité, interopérabilité et complexité de gestion.</w:t>
      </w:r>
    </w:p>
    <w:bookmarkEnd w:id="0"/>
    <w:p w14:paraId="1CDEA465" w14:textId="77777777" w:rsidR="00CA3059" w:rsidRPr="00CC1446" w:rsidRDefault="00CA3059" w:rsidP="0048519A">
      <w:pPr>
        <w:jc w:val="both"/>
        <w:rPr>
          <w:lang w:val="fr-FR"/>
        </w:rPr>
      </w:pPr>
    </w:p>
    <w:sectPr w:rsidR="00CA3059" w:rsidRPr="00CC1446" w:rsidSect="00B16E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59"/>
    <w:rsid w:val="00092118"/>
    <w:rsid w:val="001D4F0D"/>
    <w:rsid w:val="0048519A"/>
    <w:rsid w:val="005D0C1F"/>
    <w:rsid w:val="006B4C09"/>
    <w:rsid w:val="006D1DD1"/>
    <w:rsid w:val="00820369"/>
    <w:rsid w:val="00A94B92"/>
    <w:rsid w:val="00B16EE7"/>
    <w:rsid w:val="00C260FD"/>
    <w:rsid w:val="00CA3059"/>
    <w:rsid w:val="00CC1446"/>
    <w:rsid w:val="00DE4A9E"/>
    <w:rsid w:val="00EE0751"/>
    <w:rsid w:val="00F300A2"/>
    <w:rsid w:val="00FA739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14DF"/>
  <w15:chartTrackingRefBased/>
  <w15:docId w15:val="{429B3933-B8CC-4299-A68E-7A3FB26B6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0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A30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30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30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30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30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0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0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0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0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A30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0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30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30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30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0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0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059"/>
    <w:rPr>
      <w:rFonts w:eastAsiaTheme="majorEastAsia" w:cstheme="majorBidi"/>
      <w:color w:val="272727" w:themeColor="text1" w:themeTint="D8"/>
    </w:rPr>
  </w:style>
  <w:style w:type="paragraph" w:styleId="Title">
    <w:name w:val="Title"/>
    <w:basedOn w:val="Normal"/>
    <w:next w:val="Normal"/>
    <w:link w:val="TitleChar"/>
    <w:uiPriority w:val="10"/>
    <w:qFormat/>
    <w:rsid w:val="00CA30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0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0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059"/>
    <w:pPr>
      <w:spacing w:before="160"/>
      <w:jc w:val="center"/>
    </w:pPr>
    <w:rPr>
      <w:i/>
      <w:iCs/>
      <w:color w:val="404040" w:themeColor="text1" w:themeTint="BF"/>
    </w:rPr>
  </w:style>
  <w:style w:type="character" w:customStyle="1" w:styleId="QuoteChar">
    <w:name w:val="Quote Char"/>
    <w:basedOn w:val="DefaultParagraphFont"/>
    <w:link w:val="Quote"/>
    <w:uiPriority w:val="29"/>
    <w:rsid w:val="00CA3059"/>
    <w:rPr>
      <w:i/>
      <w:iCs/>
      <w:color w:val="404040" w:themeColor="text1" w:themeTint="BF"/>
    </w:rPr>
  </w:style>
  <w:style w:type="paragraph" w:styleId="ListParagraph">
    <w:name w:val="List Paragraph"/>
    <w:basedOn w:val="Normal"/>
    <w:uiPriority w:val="34"/>
    <w:qFormat/>
    <w:rsid w:val="00CA3059"/>
    <w:pPr>
      <w:ind w:left="720"/>
      <w:contextualSpacing/>
    </w:pPr>
  </w:style>
  <w:style w:type="character" w:styleId="IntenseEmphasis">
    <w:name w:val="Intense Emphasis"/>
    <w:basedOn w:val="DefaultParagraphFont"/>
    <w:uiPriority w:val="21"/>
    <w:qFormat/>
    <w:rsid w:val="00CA3059"/>
    <w:rPr>
      <w:i/>
      <w:iCs/>
      <w:color w:val="2F5496" w:themeColor="accent1" w:themeShade="BF"/>
    </w:rPr>
  </w:style>
  <w:style w:type="paragraph" w:styleId="IntenseQuote">
    <w:name w:val="Intense Quote"/>
    <w:basedOn w:val="Normal"/>
    <w:next w:val="Normal"/>
    <w:link w:val="IntenseQuoteChar"/>
    <w:uiPriority w:val="30"/>
    <w:qFormat/>
    <w:rsid w:val="00CA30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3059"/>
    <w:rPr>
      <w:i/>
      <w:iCs/>
      <w:color w:val="2F5496" w:themeColor="accent1" w:themeShade="BF"/>
    </w:rPr>
  </w:style>
  <w:style w:type="character" w:styleId="IntenseReference">
    <w:name w:val="Intense Reference"/>
    <w:basedOn w:val="DefaultParagraphFont"/>
    <w:uiPriority w:val="32"/>
    <w:qFormat/>
    <w:rsid w:val="00CA3059"/>
    <w:rPr>
      <w:b/>
      <w:bCs/>
      <w:smallCaps/>
      <w:color w:val="2F5496" w:themeColor="accent1" w:themeShade="BF"/>
      <w:spacing w:val="5"/>
    </w:rPr>
  </w:style>
  <w:style w:type="paragraph" w:styleId="Caption">
    <w:name w:val="caption"/>
    <w:basedOn w:val="Normal"/>
    <w:next w:val="Normal"/>
    <w:uiPriority w:val="35"/>
    <w:unhideWhenUsed/>
    <w:qFormat/>
    <w:rsid w:val="00CA3059"/>
    <w:pPr>
      <w:spacing w:after="200" w:line="240" w:lineRule="auto"/>
    </w:pPr>
    <w:rPr>
      <w:i/>
      <w:iCs/>
      <w:color w:val="44546A" w:themeColor="text2"/>
      <w:sz w:val="18"/>
      <w:szCs w:val="18"/>
    </w:rPr>
  </w:style>
  <w:style w:type="paragraph" w:styleId="BodyText">
    <w:name w:val="Body Text"/>
    <w:basedOn w:val="Normal"/>
    <w:link w:val="BodyTextChar"/>
    <w:qFormat/>
    <w:rsid w:val="00CC1446"/>
    <w:pPr>
      <w:spacing w:before="180" w:after="180" w:line="240" w:lineRule="auto"/>
    </w:pPr>
    <w:rPr>
      <w:kern w:val="0"/>
      <w:sz w:val="24"/>
      <w:szCs w:val="24"/>
      <w:lang w:val="en-US"/>
      <w14:ligatures w14:val="none"/>
    </w:rPr>
  </w:style>
  <w:style w:type="character" w:customStyle="1" w:styleId="BodyTextChar">
    <w:name w:val="Body Text Char"/>
    <w:basedOn w:val="DefaultParagraphFont"/>
    <w:link w:val="BodyText"/>
    <w:rsid w:val="00CC1446"/>
    <w:rPr>
      <w:kern w:val="0"/>
      <w:sz w:val="24"/>
      <w:szCs w:val="24"/>
      <w:lang w:val="en-US"/>
      <w14:ligatures w14:val="none"/>
    </w:rPr>
  </w:style>
  <w:style w:type="paragraph" w:customStyle="1" w:styleId="FirstParagraph">
    <w:name w:val="First Paragraph"/>
    <w:basedOn w:val="BodyText"/>
    <w:next w:val="BodyText"/>
    <w:qFormat/>
    <w:rsid w:val="00CC1446"/>
  </w:style>
  <w:style w:type="paragraph" w:customStyle="1" w:styleId="Compact">
    <w:name w:val="Compact"/>
    <w:basedOn w:val="BodyText"/>
    <w:qFormat/>
    <w:rsid w:val="00CC1446"/>
    <w:pPr>
      <w:spacing w:before="36" w:after="36"/>
    </w:pPr>
  </w:style>
  <w:style w:type="table" w:customStyle="1" w:styleId="Table">
    <w:name w:val="Table"/>
    <w:semiHidden/>
    <w:unhideWhenUsed/>
    <w:qFormat/>
    <w:rsid w:val="00CC1446"/>
    <w:pPr>
      <w:spacing w:after="200" w:line="240" w:lineRule="auto"/>
    </w:pPr>
    <w:rPr>
      <w:kern w:val="0"/>
      <w:sz w:val="24"/>
      <w:szCs w:val="24"/>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MALEK</dc:creator>
  <cp:keywords/>
  <dc:description/>
  <cp:lastModifiedBy>Mathis MALEK</cp:lastModifiedBy>
  <cp:revision>12</cp:revision>
  <dcterms:created xsi:type="dcterms:W3CDTF">2024-05-27T12:15:00Z</dcterms:created>
  <dcterms:modified xsi:type="dcterms:W3CDTF">2024-05-27T13:31:00Z</dcterms:modified>
</cp:coreProperties>
</file>