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ErgonX Phase 2 — Codex Implementation Playbook</w:t>
      </w:r>
    </w:p>
    <w:p>
      <w:r>
        <w:rPr>
          <w:b/>
          <w:color w:val="2F6BFF"/>
          <w:sz w:val="22"/>
        </w:rPr>
        <w:t>Controlled implementation handoff • Phase 2</w:t>
      </w:r>
    </w:p>
    <w:p>
      <w:r>
        <w:t>ErgonX — Integrated Workforce &amp; Financial Management Platform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9"/>
              </w:rPr>
              <w:t>IMPLEMENTATION RULE: Do not treat concept images as executable requirements. Implement only through existing backend contracts or explicitly approved Phase 2 extensions. Preserve tenant isolation, RBAC, auditability and financial/payroll invariants.</w:t>
            </w:r>
          </w:p>
        </w:tc>
      </w:tr>
    </w:tbl>
    <w:p>
      <w:pPr>
        <w:spacing w:after="0"/>
      </w:pPr>
    </w:p>
    <w:p>
      <w:pPr>
        <w:pStyle w:val="Heading1"/>
      </w:pPr>
      <w:r>
        <w:t>1. Mission</w:t>
      </w:r>
    </w:p>
    <w:p>
      <w:r>
        <w:t>Implement the approved ErgonX Phase 2 design and functional extensions in controlled waves. The goal is not a frontend rewrite in isolation. Each wave must reconcile UI concepts with backend contracts, domain invariants, permissions, audit requirements and tenant scoping.</w:t>
      </w:r>
    </w:p>
    <w:p>
      <w:pPr>
        <w:pStyle w:val="Heading1"/>
      </w:pPr>
      <w:r>
        <w:t>2. Authority order</w:t>
      </w:r>
    </w:p>
    <w:p>
      <w:pPr>
        <w:pStyle w:val="ListNumber"/>
        <w:spacing w:after="40"/>
      </w:pPr>
      <w:r>
        <w:t>Backend/domain invariants and security boundaries.</w:t>
      </w:r>
    </w:p>
    <w:p>
      <w:pPr>
        <w:pStyle w:val="ListNumber"/>
        <w:spacing w:after="40"/>
      </w:pPr>
      <w:r>
        <w:t>Phase 2 Concept-to-Implementation Register.</w:t>
      </w:r>
    </w:p>
    <w:p>
      <w:pPr>
        <w:pStyle w:val="ListNumber"/>
        <w:spacing w:after="40"/>
      </w:pPr>
      <w:r>
        <w:t>Approved ErgonX Design System v2 / Stitch handoff.</w:t>
      </w:r>
    </w:p>
    <w:p>
      <w:pPr>
        <w:pStyle w:val="ListNumber"/>
        <w:spacing w:after="40"/>
      </w:pPr>
      <w:r>
        <w:t>Approved Stitch screen reproduction.</w:t>
      </w:r>
    </w:p>
    <w:p>
      <w:pPr>
        <w:pStyle w:val="ListNumber"/>
        <w:spacing w:after="40"/>
      </w:pPr>
      <w:r>
        <w:t>Original concept images.</w:t>
      </w:r>
    </w:p>
    <w:p>
      <w:pPr>
        <w:pStyle w:val="Heading1"/>
      </w:pPr>
      <w:r>
        <w:t>3. Mandatory preflight before coding each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0F2345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Check</w:t>
            </w:r>
          </w:p>
        </w:tc>
        <w:tc>
          <w:tcPr>
            <w:tcW w:type="dxa" w:w="8352"/>
            <w:shd w:fill="0F2345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Required action</w:t>
            </w:r>
          </w:p>
        </w:tc>
      </w:tr>
      <w:tr>
        <w:tc>
          <w:tcPr>
            <w:tcW w:type="dxa" w:w="2304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Route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Confirm route exists or add it deliberately to the route inventory.</w:t>
            </w:r>
          </w:p>
        </w:tc>
      </w:tr>
      <w:tr>
        <w:tc>
          <w:tcPr>
            <w:tcW w:type="dxa" w:w="2304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API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Confirm current endpoint/schema; do not fabricate response fields.</w:t>
            </w:r>
          </w:p>
        </w:tc>
      </w:tr>
      <w:tr>
        <w:tc>
          <w:tcPr>
            <w:tcW w:type="dxa" w:w="2304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Tenant scope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Verify institution is derived from authorized membership/context and every query is scoped.</w:t>
            </w:r>
          </w:p>
        </w:tc>
      </w:tr>
      <w:tr>
        <w:tc>
          <w:tcPr>
            <w:tcW w:type="dxa" w:w="2304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Module enablement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Block API and hide UI when module is disabled.</w:t>
            </w:r>
          </w:p>
        </w:tc>
      </w:tr>
      <w:tr>
        <w:tc>
          <w:tcPr>
            <w:tcW w:type="dxa" w:w="2304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Permission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Identify exact granular backend permission(s).</w:t>
            </w:r>
          </w:p>
        </w:tc>
      </w:tr>
      <w:tr>
        <w:tc>
          <w:tcPr>
            <w:tcW w:type="dxa" w:w="2304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Audit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Define which create/update/decision/security events must be persisted.</w:t>
            </w:r>
          </w:p>
        </w:tc>
      </w:tr>
      <w:tr>
        <w:tc>
          <w:tcPr>
            <w:tcW w:type="dxa" w:w="2304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Lifecycle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Confirm valid states and transitions.</w:t>
            </w:r>
          </w:p>
        </w:tc>
      </w:tr>
      <w:tr>
        <w:tc>
          <w:tcPr>
            <w:tcW w:type="dxa" w:w="2304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Empty/error/loading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Implement governed states, no demo fallback data.</w:t>
            </w:r>
          </w:p>
        </w:tc>
      </w:tr>
      <w:tr>
        <w:tc>
          <w:tcPr>
            <w:tcW w:type="dxa" w:w="2304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Responsive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Verify desktop/tablet/mobile behavior.</w:t>
            </w:r>
          </w:p>
        </w:tc>
      </w:tr>
      <w:tr>
        <w:tc>
          <w:tcPr>
            <w:tcW w:type="dxa" w:w="2304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Tests</w:t>
            </w:r>
          </w:p>
        </w:tc>
        <w:tc>
          <w:tcPr>
            <w:tcW w:type="dxa" w:w="8352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Add unit/integration/E2E coverage appropriate to risk.</w:t>
            </w:r>
          </w:p>
        </w:tc>
      </w:tr>
    </w:tbl>
    <w:p/>
    <w:p>
      <w:pPr>
        <w:pStyle w:val="Heading1"/>
      </w:pPr>
      <w:r>
        <w:t>4. Wave execution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0F2345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Wave</w:t>
            </w:r>
          </w:p>
        </w:tc>
        <w:tc>
          <w:tcPr>
            <w:tcW w:type="dxa" w:w="5616"/>
            <w:shd w:fill="0F2345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Primary scope</w:t>
            </w:r>
          </w:p>
        </w:tc>
        <w:tc>
          <w:tcPr>
            <w:tcW w:type="dxa" w:w="4608"/>
            <w:shd w:fill="0F2345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Completion gate</w:t>
            </w:r>
          </w:p>
        </w:tc>
      </w:tr>
      <w:tr>
        <w:tc>
          <w:tcPr>
            <w:tcW w:type="dxa" w:w="2160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Wave 0 — Contracts &amp; Governance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Route/API/permission inventory; governed-record standard; approval/notification architecture.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No unresolved contract ambiguity for Wave 1/2 screens.</w:t>
            </w:r>
          </w:p>
        </w:tc>
      </w:tr>
      <w:tr>
        <w:tc>
          <w:tcPr>
            <w:tcW w:type="dxa" w:w="2160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Wave 1 — Design System v2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Tokens, primitives, shell, responsive nav, states, dialogs, accessibility.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Golden screens pass visual and responsive QA.</w:t>
            </w:r>
          </w:p>
        </w:tc>
      </w:tr>
      <w:tr>
        <w:tc>
          <w:tcPr>
            <w:tcW w:type="dxa" w:w="2160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Wave 2 — Platform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Notifications, global search, preferences, sessions/security, RBAC UI, Users &amp; Access, module settings.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Permission and audit tests pass; email OTP and session revocation work end-to-end.</w:t>
            </w:r>
          </w:p>
        </w:tc>
      </w:tr>
      <w:tr>
        <w:tc>
          <w:tcPr>
            <w:tcW w:type="dxa" w:w="2160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Wave 3 — HR &amp; Self-Service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Home, Executive, Insights, employees, leave, attendance, My Workspace.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Role routing, module-aware visibility and self-service scoping pass E2E.</w:t>
            </w:r>
          </w:p>
        </w:tc>
      </w:tr>
      <w:tr>
        <w:tc>
          <w:tcPr>
            <w:tcW w:type="dxa" w:w="2160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Wave 4 — Recruitment 2.0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Requisitions, hiring teams, evaluations, interviews, offers, lineage.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Requisition → approval → posting → candidate → offer → hire path works.</w:t>
            </w:r>
          </w:p>
        </w:tc>
      </w:tr>
      <w:tr>
        <w:tc>
          <w:tcPr>
            <w:tcW w:type="dxa" w:w="2160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Wave 5 — Payroll 2.0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Validation rules, exceptions, approvals, lifecycle, Ghana preset integration.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Blocking exceptions prevent progression; finalized records protected.</w:t>
            </w:r>
          </w:p>
        </w:tc>
      </w:tr>
      <w:tr>
        <w:tc>
          <w:tcPr>
            <w:tcW w:type="dxa" w:w="2160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Wave 6 — Accounting 2.0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GL, AP, AR, Expenses, accounting documents, journal integrations.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Balanced posting, mappings, approvals and settlement controls pass finance tests.</w:t>
            </w:r>
          </w:p>
        </w:tc>
      </w:tr>
      <w:tr>
        <w:tc>
          <w:tcPr>
            <w:tcW w:type="dxa" w:w="2160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Wave 7 — Finance Expansion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Bank reconciliation, budgets, advanced financial reports.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Reconciliation invariants and budget/report calculations validated.</w:t>
            </w:r>
          </w:p>
        </w:tc>
      </w:tr>
      <w:tr>
        <w:tc>
          <w:tcPr>
            <w:tcW w:type="dxa" w:w="2160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Wave 8 — Advanced Enterprise</w:t>
            </w:r>
          </w:p>
        </w:tc>
        <w:tc>
          <w:tcPr>
            <w:tcW w:type="dxa" w:w="561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Report catalogue/scheduling, public careers, calendar/bank integrations, broader automation.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External integrations behind explicit configuration, consent and failure handling.</w:t>
            </w:r>
          </w:p>
        </w:tc>
      </w:tr>
    </w:tbl>
    <w:p/>
    <w:p>
      <w:pPr>
        <w:pStyle w:val="Heading1"/>
      </w:pPr>
      <w:r>
        <w:t>5. Cross-cutting implementation rules</w:t>
      </w:r>
    </w:p>
    <w:p>
      <w:pPr>
        <w:pStyle w:val="ListBullet"/>
        <w:spacing w:after="40"/>
      </w:pPr>
      <w:r>
        <w:t>No hard-coded role-name authorization. Use backend permissions; canonical roles merely receive default permission sets.</w:t>
      </w:r>
    </w:p>
    <w:p>
      <w:pPr>
        <w:pStyle w:val="ListBullet"/>
        <w:spacing w:after="40"/>
      </w:pPr>
      <w:r>
        <w:t>No hard-coded institution IDs, account IDs, payroll mappings or Ghana statutory values.</w:t>
      </w:r>
    </w:p>
    <w:p>
      <w:pPr>
        <w:pStyle w:val="ListBullet"/>
        <w:spacing w:after="40"/>
      </w:pPr>
      <w:r>
        <w:t>No frontend-only authorization. Backend remains authoritative.</w:t>
      </w:r>
    </w:p>
    <w:p>
      <w:pPr>
        <w:pStyle w:val="ListBullet"/>
        <w:spacing w:after="40"/>
      </w:pPr>
      <w:r>
        <w:t>X-Institution-ID or institution selector is context selection, never authorization.</w:t>
      </w:r>
    </w:p>
    <w:p>
      <w:pPr>
        <w:pStyle w:val="ListBullet"/>
        <w:spacing w:after="40"/>
      </w:pPr>
      <w:r>
        <w:t>No sensitive tenant/API/JWT caching in the PWA service worker.</w:t>
      </w:r>
    </w:p>
    <w:p>
      <w:pPr>
        <w:pStyle w:val="ListBullet"/>
        <w:spacing w:after="40"/>
      </w:pPr>
      <w:r>
        <w:t>No hard deletion of referenced master data or approved/finalized/posted transactions.</w:t>
      </w:r>
    </w:p>
    <w:p>
      <w:pPr>
        <w:pStyle w:val="ListBullet"/>
        <w:spacing w:after="40"/>
      </w:pPr>
      <w:r>
        <w:t>Financial postings must remain balanced and posted records immutable.</w:t>
      </w:r>
    </w:p>
    <w:p>
      <w:pPr>
        <w:pStyle w:val="ListBullet"/>
        <w:spacing w:after="40"/>
      </w:pPr>
      <w:r>
        <w:t>Payroll finalization must fail closed on unresolved blocking exceptions or mappings.</w:t>
      </w:r>
    </w:p>
    <w:p>
      <w:pPr>
        <w:pStyle w:val="ListBullet"/>
        <w:spacing w:after="40"/>
      </w:pPr>
      <w:r>
        <w:t>Email OTP must be hashed, expiring, one-time, rate-limited and audited.</w:t>
      </w:r>
    </w:p>
    <w:p>
      <w:pPr>
        <w:pStyle w:val="ListBullet"/>
        <w:spacing w:after="40"/>
      </w:pPr>
      <w:r>
        <w:t>Notification deep links resolve through controlled internal route names and resource IDs.</w:t>
      </w:r>
    </w:p>
    <w:p>
      <w:pPr>
        <w:pStyle w:val="ListBullet"/>
        <w:spacing w:after="40"/>
      </w:pPr>
      <w:r>
        <w:t>Search must scope by institution/module/permission before results are returned.</w:t>
      </w:r>
    </w:p>
    <w:p>
      <w:pPr>
        <w:pStyle w:val="ListBullet"/>
        <w:spacing w:after="40"/>
      </w:pPr>
      <w:r>
        <w:t>Dashboard cards only render when the source module is enabled and the viewer has permission.</w:t>
      </w:r>
    </w:p>
    <w:p>
      <w:pPr>
        <w:pStyle w:val="Heading1"/>
      </w:pPr>
      <w:r>
        <w:t>6. Governed Record Pattern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0F2345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8208"/>
            <w:shd w:fill="0F2345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2448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Draft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Editable; may be deletable only when unreferenced and policy allows.</w:t>
            </w:r>
          </w:p>
        </w:tc>
      </w:tr>
      <w:tr>
        <w:tc>
          <w:tcPr>
            <w:tcW w:type="dxa" w:w="2448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Submitted/Approval Pending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Changes controlled; approval workflow becomes authoritative.</w:t>
            </w:r>
          </w:p>
        </w:tc>
      </w:tr>
      <w:tr>
        <w:tc>
          <w:tcPr>
            <w:tcW w:type="dxa" w:w="2448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Approved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Further mutation depends on domain; usually limited.</w:t>
            </w:r>
          </w:p>
        </w:tc>
      </w:tr>
      <w:tr>
        <w:tc>
          <w:tcPr>
            <w:tcW w:type="dxa" w:w="2448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Finalized/Posted/Paid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Immutable business record.</w:t>
            </w:r>
          </w:p>
        </w:tc>
      </w:tr>
      <w:tr>
        <w:tc>
          <w:tcPr>
            <w:tcW w:type="dxa" w:w="2448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Correction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Create a linked successor/correction record; retain original.</w:t>
            </w:r>
          </w:p>
        </w:tc>
      </w:tr>
      <w:tr>
        <w:tc>
          <w:tcPr>
            <w:tcW w:type="dxa" w:w="2448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Reversal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Create linked reversal that cancels accounting/business effect while preserving history.</w:t>
            </w:r>
          </w:p>
        </w:tc>
      </w:tr>
      <w:tr>
        <w:tc>
          <w:tcPr>
            <w:tcW w:type="dxa" w:w="2448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Archive/Deactivate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Use for referenced master records and users/employees where appropriate.</w:t>
            </w:r>
          </w:p>
        </w:tc>
      </w:tr>
      <w:tr>
        <w:tc>
          <w:tcPr>
            <w:tcW w:type="dxa" w:w="2448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Audit</w:t>
            </w:r>
          </w:p>
        </w:tc>
        <w:tc>
          <w:tcPr>
            <w:tcW w:type="dxa" w:w="820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Record actor, institution, action, target, timestamp and material change context.</w:t>
            </w:r>
          </w:p>
        </w:tc>
      </w:tr>
    </w:tbl>
    <w:p/>
    <w:p>
      <w:pPr>
        <w:pStyle w:val="Heading1"/>
      </w:pPr>
      <w:r>
        <w:t>7. Security implementation</w:t>
      </w:r>
    </w:p>
    <w:p>
      <w:pPr>
        <w:pStyle w:val="ListBullet"/>
        <w:spacing w:after="40"/>
      </w:pPr>
      <w:r>
        <w:t>Support TOTP and email OTP only in Phase 2.</w:t>
      </w:r>
    </w:p>
    <w:p>
      <w:pPr>
        <w:pStyle w:val="ListBullet"/>
        <w:spacing w:after="40"/>
      </w:pPr>
      <w:r>
        <w:t>Email OTP challenge: purpose, code_hash, created_at, expires_at, attempt_count, max_attempts, consumed_at, request metadata.</w:t>
      </w:r>
    </w:p>
    <w:p>
      <w:pPr>
        <w:pStyle w:val="ListBullet"/>
        <w:spacing w:after="40"/>
      </w:pPr>
      <w:r>
        <w:t>Recommended validity: 5–10 minutes; one-time use; resend cooldown; per-account/IP throttling.</w:t>
      </w:r>
    </w:p>
    <w:p>
      <w:pPr>
        <w:pStyle w:val="ListBullet"/>
        <w:spacing w:after="40"/>
      </w:pPr>
      <w:r>
        <w:t>Add server-side session tracking so revoke/revoke-all invalidates refresh/session families.</w:t>
      </w:r>
    </w:p>
    <w:p>
      <w:pPr>
        <w:pStyle w:val="ListBullet"/>
        <w:spacing w:after="40"/>
      </w:pPr>
      <w:r>
        <w:t>Implement recovery email before recovery phone; hide SMS-dependent UI.</w:t>
      </w:r>
    </w:p>
    <w:p>
      <w:pPr>
        <w:pStyle w:val="ListBullet"/>
        <w:spacing w:after="40"/>
      </w:pPr>
      <w:r>
        <w:t>Log successful sign-in, failed sign-in, MFA challenge result, password change, session revoke and recovery changes.</w:t>
      </w:r>
    </w:p>
    <w:p>
      <w:pPr>
        <w:pStyle w:val="Heading1"/>
      </w:pPr>
      <w:r>
        <w:t>8. Dashboard routing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F2345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User class</w:t>
            </w:r>
          </w:p>
        </w:tc>
        <w:tc>
          <w:tcPr>
            <w:tcW w:type="dxa" w:w="3456"/>
            <w:shd w:fill="0F2345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Default landing</w:t>
            </w:r>
          </w:p>
        </w:tc>
        <w:tc>
          <w:tcPr>
            <w:tcW w:type="dxa" w:w="4896"/>
            <w:shd w:fill="0F2345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3456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Institution Admin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Executive Dashboard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Must have executive dashboard permission.</w:t>
            </w:r>
          </w:p>
        </w:tc>
      </w:tr>
      <w:tr>
        <w:tc>
          <w:tcPr>
            <w:tcW w:type="dxa" w:w="3456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Director/CEO/Director-General equivalent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Executive Dashboard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Resolve by assigned permissions/templates, not literal title string.</w:t>
            </w:r>
          </w:p>
        </w:tc>
      </w:tr>
      <w:tr>
        <w:tc>
          <w:tcPr>
            <w:tcW w:type="dxa" w:w="3456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Other operational/admin roles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Insights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Permission-filtered source data only.</w:t>
            </w:r>
          </w:p>
        </w:tc>
      </w:tr>
      <w:tr>
        <w:tc>
          <w:tcPr>
            <w:tcW w:type="dxa" w:w="3456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Standard Employee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Employee Home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Self-service only unless additional analytics permission granted.</w:t>
            </w:r>
          </w:p>
        </w:tc>
      </w:tr>
      <w:tr>
        <w:tc>
          <w:tcPr>
            <w:tcW w:type="dxa" w:w="3456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Mixed-role user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Highest permitted relevant workspace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Do not expose executive view solely because employee has another role label.</w:t>
            </w:r>
          </w:p>
        </w:tc>
      </w:tr>
    </w:tbl>
    <w:p/>
    <w:p>
      <w:pPr>
        <w:pStyle w:val="Heading1"/>
      </w:pPr>
      <w:r>
        <w:t>9. Expenses — required Phase 2 implementation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9"/>
              </w:rPr>
              <w:t>Expense is an Accounting capability with employee self-service entry points. It is not a standalone form workflow.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shd w:fill="0F2345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Entity / Service</w:t>
            </w:r>
          </w:p>
        </w:tc>
        <w:tc>
          <w:tcPr>
            <w:tcW w:type="dxa" w:w="8928"/>
            <w:shd w:fill="0F2345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Required scope</w:t>
            </w:r>
          </w:p>
        </w:tc>
      </w:tr>
      <w:tr>
        <w:tc>
          <w:tcPr>
            <w:tcW w:type="dxa" w:w="2880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ExpenseClaim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Institution, employee, claim number, purpose/business reason, currency, total, lifecycle timestamps/status.</w:t>
            </w:r>
          </w:p>
        </w:tc>
      </w:tr>
      <w:tr>
        <w:tc>
          <w:tcPr>
            <w:tcW w:type="dxa" w:w="2880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ExpenseItem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Date, category, merchant/vendor, description, amount, tax, project/department/cost centre.</w:t>
            </w:r>
          </w:p>
        </w:tc>
      </w:tr>
      <w:tr>
        <w:tc>
          <w:tcPr>
            <w:tcW w:type="dxa" w:w="2880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ExpenseAttachment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Receipt/invoice/evidence with secure file handling.</w:t>
            </w:r>
          </w:p>
        </w:tc>
      </w:tr>
      <w:tr>
        <w:tc>
          <w:tcPr>
            <w:tcW w:type="dxa" w:w="2880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ExpenseCategory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Institution-configurable category and accounting mapping.</w:t>
            </w:r>
          </w:p>
        </w:tc>
      </w:tr>
      <w:tr>
        <w:tc>
          <w:tcPr>
            <w:tcW w:type="dxa" w:w="2880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ExpensePolicy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Receipt thresholds, limits, allowed currencies, documentation rules, configured approver logic.</w:t>
            </w:r>
          </w:p>
        </w:tc>
      </w:tr>
      <w:tr>
        <w:tc>
          <w:tcPr>
            <w:tcW w:type="dxa" w:w="2880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ExpenseValidation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Missing receipt, duplicate evidence, invalid date, inactive claimant, unsupported currency, closed period, missing GL mapping.</w:t>
            </w:r>
          </w:p>
        </w:tc>
      </w:tr>
      <w:tr>
        <w:tc>
          <w:tcPr>
            <w:tcW w:type="dxa" w:w="2880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ExpensePosting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Configured balanced journal generation. Example concept: expense/tax debits, employee payable credit. Never hard-code account IDs.</w:t>
            </w:r>
          </w:p>
        </w:tc>
      </w:tr>
      <w:tr>
        <w:tc>
          <w:tcPr>
            <w:tcW w:type="dxa" w:w="2880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ExpenseSettlement</w:t>
            </w:r>
          </w:p>
        </w:tc>
        <w:tc>
          <w:tcPr>
            <w:tcW w:type="dxa" w:w="8928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Record reimbursement/settlement. Marking settled does not imply an electronic bank transfer unless integration exists.</w:t>
            </w:r>
          </w:p>
        </w:tc>
      </w:tr>
    </w:tbl>
    <w:p/>
    <w:p>
      <w:pPr>
        <w:pStyle w:val="ListBullet"/>
        <w:spacing w:after="40"/>
      </w:pPr>
      <w:r>
        <w:t>Lifecycle: Draft → Submitted → Manager Approval → Finance Review → Approved → Posted → Settled.</w:t>
      </w:r>
    </w:p>
    <w:p>
      <w:pPr>
        <w:pStyle w:val="ListBullet"/>
        <w:spacing w:after="40"/>
      </w:pPr>
      <w:r>
        <w:t>Alternative controlled outcomes: Request Changes, Rejected, Cancelled.</w:t>
      </w:r>
    </w:p>
    <w:p>
      <w:pPr>
        <w:pStyle w:val="ListBullet"/>
        <w:spacing w:after="40"/>
      </w:pPr>
      <w:r>
        <w:t>Once posted, corrections occur through governed adjustment/reversal patterns.</w:t>
      </w:r>
    </w:p>
    <w:p>
      <w:pPr>
        <w:pStyle w:val="ListBullet"/>
        <w:spacing w:after="40"/>
      </w:pPr>
      <w:r>
        <w:t>Add My Expenses to employee self-service with Draft, Submitted, Pending Approval, Approved, Rejected, Awaiting Reimbursement and Reimbursed states.</w:t>
      </w:r>
    </w:p>
    <w:p>
      <w:pPr>
        <w:pStyle w:val="ListBullet"/>
        <w:spacing w:after="40"/>
      </w:pPr>
      <w:r>
        <w:t>All approval, posting and settlement changes must be auditable.</w:t>
      </w:r>
    </w:p>
    <w:p>
      <w:pPr>
        <w:pStyle w:val="Heading1"/>
      </w:pPr>
      <w:r>
        <w:t>10. High-risk domain acceptance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0F2345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8784"/>
            <w:shd w:fill="0F2345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7"/>
              </w:rPr>
              <w:t>Must pass before wave is complete</w:t>
            </w:r>
          </w:p>
        </w:tc>
      </w:tr>
      <w:tr>
        <w:tc>
          <w:tcPr>
            <w:tcW w:type="dxa" w:w="3024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Recruitment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Approved requisition can create/publish posting; evaluation access scoped; accepted offer converts to employee with lineage retained.</w:t>
            </w:r>
          </w:p>
        </w:tc>
      </w:tr>
      <w:tr>
        <w:tc>
          <w:tcPr>
            <w:tcW w:type="dxa" w:w="3024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Attendance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Adjustments preserve evidence and decisions; payroll-consumed periods are not silently rewritten.</w:t>
            </w:r>
          </w:p>
        </w:tc>
      </w:tr>
      <w:tr>
        <w:tc>
          <w:tcPr>
            <w:tcW w:type="dxa" w:w="3024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Leave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Policy engine distinguishes FAIL/WARNING/NOT_EVALUATED; required evidence enforced.</w:t>
            </w:r>
          </w:p>
        </w:tc>
      </w:tr>
      <w:tr>
        <w:tc>
          <w:tcPr>
            <w:tcW w:type="dxa" w:w="3024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Payroll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Blocking exceptions stop progression; Ghana preset unresolved legal items fail closed; finalized runs immutable.</w:t>
            </w:r>
          </w:p>
        </w:tc>
      </w:tr>
      <w:tr>
        <w:tc>
          <w:tcPr>
            <w:tcW w:type="dxa" w:w="3024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Accounting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Journals balanced server-side; posted records immutable; mappings configured, not inferred.</w:t>
            </w:r>
          </w:p>
        </w:tc>
      </w:tr>
      <w:tr>
        <w:tc>
          <w:tcPr>
            <w:tcW w:type="dxa" w:w="3024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Expenses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Approved claims post through configured accounts; duplicate/missing receipt and closed-period validation enforced.</w:t>
            </w:r>
          </w:p>
        </w:tc>
      </w:tr>
      <w:tr>
        <w:tc>
          <w:tcPr>
            <w:tcW w:type="dxa" w:w="3024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Bank reconciliation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Imported statement lines and GL items match through explicit reconciliation records; completion invariants enforced.</w:t>
            </w:r>
          </w:p>
        </w:tc>
      </w:tr>
      <w:tr>
        <w:tc>
          <w:tcPr>
            <w:tcW w:type="dxa" w:w="3024"/>
            <w:shd w:fill="F5F7FB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6"/>
              </w:rPr>
              <w:t>Budgets</w:t>
            </w:r>
          </w:p>
        </w:tc>
        <w:tc>
          <w:tcPr>
            <w:tcW w:type="dxa" w:w="8784"/>
            <w:vAlign w:val="center"/>
          </w:tcPr>
          <w:p>
            <w:pPr>
              <w:jc w:val="left"/>
            </w:pPr>
            <w:r>
              <w:rPr>
                <w:rFonts w:ascii="Aptos" w:hAnsi="Aptos"/>
                <w:b w:val="0"/>
                <w:color w:val="23324D"/>
                <w:sz w:val="16"/>
              </w:rPr>
              <w:t>Actuals derive from posted GL; committed amounts not invented without a legitimate commitment source.</w:t>
            </w:r>
          </w:p>
        </w:tc>
      </w:tr>
    </w:tbl>
    <w:p/>
    <w:p>
      <w:pPr>
        <w:pStyle w:val="Heading1"/>
      </w:pPr>
      <w:r>
        <w:t>11. Codex master execution prompt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3FA"/>
            <w:vAlign w:val="center"/>
          </w:tcPr>
          <w:p>
            <w:pPr>
              <w:jc w:val="left"/>
            </w:pPr>
            <w:r>
              <w:rPr>
                <w:rFonts w:ascii="Aptos" w:hAnsi="Aptos"/>
                <w:b/>
                <w:color w:val="0F2345"/>
                <w:sz w:val="19"/>
              </w:rPr>
              <w:t>You are implementing ErgonX Phase 2 in the existing codebase. Work in controlled waves and preserve the existing modular-monolith, tenant-aware architecture. Do not treat screenshots or design concepts as backend truth. Before implementing any screen, reconcile it against the Phase 2 Concept-to-Implementation Register, current API contracts, existing models, permissions, module enablement and audit rules.</w:t>
              <w:br/>
              <w:br/>
              <w:t>Authority order:</w:t>
              <w:br/>
              <w:t>1) backend/domain invariants and security boundaries; 2) Phase 2 implementation register; 3) approved Design System v2/Stitch handoff; 4) approved Stitch screen; 5) original concept image.</w:t>
              <w:br/>
              <w:br/>
              <w:t>Global rules:</w:t>
              <w:br/>
              <w:t>• Institution is the tenant data/security boundary. Scope every query/action.</w:t>
              <w:br/>
              <w:t>• Backend permissions are authoritative; never authorize by frontend role label alone.</w:t>
              <w:br/>
              <w:t>• Disabled modules must be hidden and blocked at API level.</w:t>
              <w:br/>
              <w:t>• Executive Dashboard is for Institution Admin and Director/CEO equivalents through effective permission. Insights is for other authorized operational/admin roles. Standard Employee lands on Employee Home.</w:t>
              <w:br/>
              <w:t>• MFA in this phase is TOTP + email OTP only; no SMS functionality.</w:t>
              <w:br/>
              <w:t>• Expenses is an active Accounting capability and must follow the governed claim→approval→finance review→posting→settlement design.</w:t>
              <w:br/>
              <w:t>• Finalized/posted records are immutable; use correction/reversal/void/archive/deactivate patterns instead of destructive edits.</w:t>
              <w:br/>
              <w:t>• No production demo/placeholder data. Implement real empty/loading/error/permission states.</w:t>
              <w:br/>
              <w:t>• No hard-coded account IDs, institution IDs, Ghana statutory assumptions, currencies, approval actors or tenant-specific business rules.</w:t>
              <w:br/>
              <w:t>• Audit all material security, approval, lifecycle, payroll and financial actions.</w:t>
              <w:br/>
              <w:t>• Preserve PWA security: no sensitive API/JWT/tenant data offline caching.</w:t>
              <w:br/>
              <w:br/>
              <w:t>For each work item: first inspect existing implementation; write a discrepancy note; implement the smallest coherent backend contract needed; implement reusable frontend components; add tests; run lint/typecheck/unit/integration/E2E as applicable; update the discrepancy register; and do not proceed to the next wave until the current wave acceptance gate passes.</w:t>
            </w:r>
          </w:p>
        </w:tc>
      </w:tr>
    </w:tbl>
    <w:p>
      <w:pPr>
        <w:spacing w:after="0"/>
      </w:pPr>
    </w:p>
    <w:p>
      <w:pPr>
        <w:pStyle w:val="Heading1"/>
      </w:pPr>
      <w:r>
        <w:t>12. Definition of done for each screen</w:t>
      </w:r>
    </w:p>
    <w:p>
      <w:pPr>
        <w:spacing w:after="40"/>
      </w:pPr>
      <w:r>
        <w:t>1.  Uses approved Design System primitives; no bespoke duplicate component without justification.</w:t>
      </w:r>
    </w:p>
    <w:p>
      <w:pPr>
        <w:spacing w:after="40"/>
      </w:pPr>
      <w:r>
        <w:t>2.  Route, API and data model are documented and real.</w:t>
      </w:r>
    </w:p>
    <w:p>
      <w:pPr>
        <w:spacing w:after="40"/>
      </w:pPr>
      <w:r>
        <w:t>3.  Tenant/module/permission boundaries tested.</w:t>
      </w:r>
    </w:p>
    <w:p>
      <w:pPr>
        <w:spacing w:after="40"/>
      </w:pPr>
      <w:r>
        <w:t>4.  Loading, empty, zero-results, error and forbidden states handled.</w:t>
      </w:r>
    </w:p>
    <w:p>
      <w:pPr>
        <w:spacing w:after="40"/>
      </w:pPr>
      <w:r>
        <w:t>5.  No sample data in production path.</w:t>
      </w:r>
    </w:p>
    <w:p>
      <w:pPr>
        <w:spacing w:after="40"/>
      </w:pPr>
      <w:r>
        <w:t>6.  Audit and notification behavior implemented where required.</w:t>
      </w:r>
    </w:p>
    <w:p>
      <w:pPr>
        <w:spacing w:after="40"/>
      </w:pPr>
      <w:r>
        <w:t>7.  Responsive desktop/tablet/mobile behavior verified.</w:t>
      </w:r>
    </w:p>
    <w:p>
      <w:pPr>
        <w:spacing w:after="40"/>
      </w:pPr>
      <w:r>
        <w:t>8.  Accessibility keyboard/focus/reduced-motion behavior verified.</w:t>
      </w:r>
    </w:p>
    <w:p>
      <w:pPr>
        <w:spacing w:after="40"/>
      </w:pPr>
      <w:r>
        <w:t>9.  Tests pass and discrepancy register updated.</w:t>
      </w:r>
    </w:p>
    <w:p>
      <w:pPr>
        <w:spacing w:after="40"/>
      </w:pPr>
      <w:r>
        <w:t>10.  No regression in existing module contracts.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ErgonX Phase 2 • Team Core5ive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23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B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7C5CF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8172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