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ErgonX Phase 2 — Stitch Design Handoff</w:t>
      </w:r>
    </w:p>
    <w:p>
      <w:r>
        <w:rPr>
          <w:b/>
          <w:color w:val="2F6BFF"/>
          <w:sz w:val="22"/>
        </w:rPr>
        <w:t>Controlled implementation handoff • Phase 2</w:t>
      </w:r>
    </w:p>
    <w:p>
      <w:r>
        <w:t>ErgonX — Integrated Workforce &amp; Financial Management Platform</w:t>
      </w:r>
    </w:p>
    <w:tbl>
      <w:tblPr>
        <w:tblW w:type="auto" w:w="0"/>
        <w:jc w:val="center"/>
        <w:tblLayout w:type="autofit"/>
        <w:tblLook w:firstColumn="1" w:firstRow="1" w:lastColumn="0" w:lastRow="0" w:noHBand="0" w:noVBand="1" w:val="04A0"/>
      </w:tblPr>
      <w:tblGrid>
        <w:gridCol w:w="10368"/>
      </w:tblGrid>
      <w:tr>
        <w:tc>
          <w:tcPr>
            <w:tcW w:type="dxa" w:w="10368"/>
            <w:shd w:fill="F5F7FB"/>
            <w:vAlign w:val="center"/>
          </w:tcPr>
          <w:p>
            <w:pPr>
              <w:jc w:val="left"/>
            </w:pPr>
            <w:r>
              <w:rPr>
                <w:rFonts w:ascii="Aptos" w:hAnsi="Aptos"/>
                <w:b/>
                <w:color w:val="0F2345"/>
                <w:sz w:val="19"/>
              </w:rPr>
              <w:t>VISUAL AUTHORITY: Google Stitch should reproduce and refine the approved concepts. FUNCTIONAL AUTHORITY: existing ErgonX domain rules, RBAC, tenant boundaries and this Phase 2 register.</w:t>
            </w:r>
          </w:p>
        </w:tc>
      </w:tr>
    </w:tbl>
    <w:p>
      <w:pPr>
        <w:spacing w:after="0"/>
      </w:pPr>
    </w:p>
    <w:p>
      <w:pPr>
        <w:pStyle w:val="Heading1"/>
      </w:pPr>
      <w:r>
        <w:t>1. Objective</w:t>
      </w:r>
    </w:p>
    <w:p>
      <w:r>
        <w:t>Use Google Stitch to convert the approved ErgonX concept screens into a coherent, production-oriented design system and complete responsive screen set. Stitch is not being asked to invent product behavior. It should preserve the established information architecture, module boundaries and workflow semantics while improving consistency, responsiveness and visual fidelity.</w:t>
      </w:r>
    </w:p>
    <w:p>
      <w:pPr>
        <w:pStyle w:val="Heading1"/>
      </w:pPr>
      <w:r>
        <w:t>2. Non-negotiable product rules</w:t>
      </w:r>
    </w:p>
    <w:p>
      <w:pPr>
        <w:pStyle w:val="ListBullet"/>
        <w:spacing w:after="40"/>
      </w:pPr>
      <w:r>
        <w:t>ErgonX remains a tenant-aware modular monolith. Institution is the security/data boundary.</w:t>
      </w:r>
    </w:p>
    <w:p>
      <w:pPr>
        <w:pStyle w:val="ListBullet"/>
        <w:spacing w:after="40"/>
      </w:pPr>
      <w:r>
        <w:t>Disabled modules disappear from navigation, Home, dashboards, reports, search, actions and configuration surfaces where appropriate.</w:t>
      </w:r>
    </w:p>
    <w:p>
      <w:pPr>
        <w:pStyle w:val="ListBullet"/>
        <w:spacing w:after="40"/>
      </w:pPr>
      <w:r>
        <w:t>Executive Dashboard is for Institution Admin and Director/CEO/Director-General equivalents via effective permission, not just display role name.</w:t>
      </w:r>
    </w:p>
    <w:p>
      <w:pPr>
        <w:pStyle w:val="ListBullet"/>
        <w:spacing w:after="40"/>
      </w:pPr>
      <w:r>
        <w:t>Insights is for other authorized operational/admin roles. Standard employees land on Employee Home / My Workspace unless separately granted analytics access.</w:t>
      </w:r>
    </w:p>
    <w:p>
      <w:pPr>
        <w:pStyle w:val="ListBullet"/>
        <w:spacing w:after="40"/>
      </w:pPr>
      <w:r>
        <w:t>MFA in Phase 2 is TOTP + email OTP. Do not design SMS OTP or recovery-phone flows as active functionality.</w:t>
      </w:r>
    </w:p>
    <w:p>
      <w:pPr>
        <w:pStyle w:val="ListBullet"/>
        <w:spacing w:after="40"/>
      </w:pPr>
      <w:r>
        <w:t>Expenses is a current Accounting capability and must be represented as such.</w:t>
      </w:r>
    </w:p>
    <w:p>
      <w:pPr>
        <w:pStyle w:val="ListBullet"/>
        <w:spacing w:after="40"/>
      </w:pPr>
      <w:r>
        <w:t>No production placeholder/demo data. Use governed empty, loading, error and permission states.</w:t>
      </w:r>
    </w:p>
    <w:p>
      <w:pPr>
        <w:pStyle w:val="ListBullet"/>
        <w:spacing w:after="40"/>
      </w:pPr>
      <w:r>
        <w:t>Finalized/posted records are not edited destructively. Concepts must support correction, reversal, void, archive, deactivate or linked successor patterns as applicable.</w:t>
      </w:r>
    </w:p>
    <w:p>
      <w:pPr>
        <w:pStyle w:val="ListBullet"/>
        <w:spacing w:after="40"/>
      </w:pPr>
      <w:r>
        <w:t>Do not introduce Procurement, Learning, Performance, Benefits or other future modules into the primary Phase 2 navigation unless explicitly labeled future/disabled.</w:t>
      </w:r>
    </w:p>
    <w:p>
      <w:pPr>
        <w:pStyle w:val="Heading1"/>
      </w:pPr>
      <w:r>
        <w:t>3. Visual system</w:t>
      </w:r>
    </w:p>
    <w:tbl>
      <w:tblPr>
        <w:tblStyle w:val="TableGrid"/>
        <w:tblW w:type="auto" w:w="0"/>
        <w:jc w:val="center"/>
        <w:tblLook w:firstColumn="1" w:firstRow="1" w:lastColumn="0" w:lastRow="0" w:noHBand="0" w:noVBand="1" w:val="04A0"/>
      </w:tblPr>
      <w:tblGrid>
        <w:gridCol w:w="5184"/>
        <w:gridCol w:w="5184"/>
      </w:tblGrid>
      <w:tr>
        <w:tc>
          <w:tcPr>
            <w:tcW w:type="dxa" w:w="2160"/>
            <w:shd w:fill="0F2345"/>
            <w:vAlign w:val="center"/>
          </w:tcPr>
          <w:p>
            <w:pPr>
              <w:jc w:val="left"/>
            </w:pPr>
            <w:r>
              <w:rPr>
                <w:rFonts w:ascii="Aptos" w:hAnsi="Aptos"/>
                <w:b/>
                <w:color w:val="FFFFFF"/>
                <w:sz w:val="17"/>
              </w:rPr>
              <w:t>Element</w:t>
            </w:r>
          </w:p>
        </w:tc>
        <w:tc>
          <w:tcPr>
            <w:tcW w:type="dxa" w:w="8352"/>
            <w:shd w:fill="0F2345"/>
            <w:vAlign w:val="center"/>
          </w:tcPr>
          <w:p>
            <w:pPr>
              <w:jc w:val="left"/>
            </w:pPr>
            <w:r>
              <w:rPr>
                <w:rFonts w:ascii="Aptos" w:hAnsi="Aptos"/>
                <w:b/>
                <w:color w:val="FFFFFF"/>
                <w:sz w:val="17"/>
              </w:rPr>
              <w:t>Direction</w:t>
            </w:r>
          </w:p>
        </w:tc>
      </w:tr>
      <w:tr>
        <w:tc>
          <w:tcPr>
            <w:tcW w:type="dxa" w:w="2160"/>
            <w:shd w:fill="F5F7FB"/>
            <w:vAlign w:val="center"/>
          </w:tcPr>
          <w:p>
            <w:pPr>
              <w:jc w:val="left"/>
            </w:pPr>
            <w:r>
              <w:rPr>
                <w:rFonts w:ascii="Aptos" w:hAnsi="Aptos"/>
                <w:b/>
                <w:color w:val="0F2345"/>
                <w:sz w:val="16"/>
              </w:rPr>
              <w:t>Brand</w:t>
            </w:r>
          </w:p>
        </w:tc>
        <w:tc>
          <w:tcPr>
            <w:tcW w:type="dxa" w:w="8352"/>
            <w:vAlign w:val="center"/>
          </w:tcPr>
          <w:p>
            <w:pPr>
              <w:jc w:val="left"/>
            </w:pPr>
            <w:r>
              <w:rPr>
                <w:rFonts w:ascii="Aptos" w:hAnsi="Aptos"/>
                <w:b w:val="0"/>
                <w:color w:val="23324D"/>
                <w:sz w:val="16"/>
              </w:rPr>
              <w:t>Modern enterprise SaaS; calm, precise, institutional, trustworthy.</w:t>
            </w:r>
          </w:p>
        </w:tc>
      </w:tr>
      <w:tr>
        <w:tc>
          <w:tcPr>
            <w:tcW w:type="dxa" w:w="2160"/>
            <w:shd w:fill="F5F7FB"/>
            <w:vAlign w:val="center"/>
          </w:tcPr>
          <w:p>
            <w:pPr>
              <w:jc w:val="left"/>
            </w:pPr>
            <w:r>
              <w:rPr>
                <w:rFonts w:ascii="Aptos" w:hAnsi="Aptos"/>
                <w:b/>
                <w:color w:val="0F2345"/>
                <w:sz w:val="16"/>
              </w:rPr>
              <w:t>Base palette</w:t>
            </w:r>
          </w:p>
        </w:tc>
        <w:tc>
          <w:tcPr>
            <w:tcW w:type="dxa" w:w="8352"/>
            <w:vAlign w:val="center"/>
          </w:tcPr>
          <w:p>
            <w:pPr>
              <w:jc w:val="left"/>
            </w:pPr>
            <w:r>
              <w:rPr>
                <w:rFonts w:ascii="Aptos" w:hAnsi="Aptos"/>
                <w:b w:val="0"/>
                <w:color w:val="23324D"/>
                <w:sz w:val="16"/>
              </w:rPr>
              <w:t>Brand Navy #0F2345, Deep Navy #08172F, Soft Canvas #F5F7FB, White, Soft Border #D9E2EF.</w:t>
            </w:r>
          </w:p>
        </w:tc>
      </w:tr>
      <w:tr>
        <w:tc>
          <w:tcPr>
            <w:tcW w:type="dxa" w:w="2160"/>
            <w:shd w:fill="F5F7FB"/>
            <w:vAlign w:val="center"/>
          </w:tcPr>
          <w:p>
            <w:pPr>
              <w:jc w:val="left"/>
            </w:pPr>
            <w:r>
              <w:rPr>
                <w:rFonts w:ascii="Aptos" w:hAnsi="Aptos"/>
                <w:b/>
                <w:color w:val="0F2345"/>
                <w:sz w:val="16"/>
              </w:rPr>
              <w:t>Primary accent</w:t>
            </w:r>
          </w:p>
        </w:tc>
        <w:tc>
          <w:tcPr>
            <w:tcW w:type="dxa" w:w="8352"/>
            <w:vAlign w:val="center"/>
          </w:tcPr>
          <w:p>
            <w:pPr>
              <w:jc w:val="left"/>
            </w:pPr>
            <w:r>
              <w:rPr>
                <w:rFonts w:ascii="Aptos" w:hAnsi="Aptos"/>
                <w:b w:val="0"/>
                <w:color w:val="23324D"/>
                <w:sz w:val="16"/>
              </w:rPr>
              <w:t>Royal Blue #2F6BFF.</w:t>
            </w:r>
          </w:p>
        </w:tc>
      </w:tr>
      <w:tr>
        <w:tc>
          <w:tcPr>
            <w:tcW w:type="dxa" w:w="2160"/>
            <w:shd w:fill="F5F7FB"/>
            <w:vAlign w:val="center"/>
          </w:tcPr>
          <w:p>
            <w:pPr>
              <w:jc w:val="left"/>
            </w:pPr>
            <w:r>
              <w:rPr>
                <w:rFonts w:ascii="Aptos" w:hAnsi="Aptos"/>
                <w:b/>
                <w:color w:val="0F2345"/>
                <w:sz w:val="16"/>
              </w:rPr>
              <w:t>Signature accent</w:t>
            </w:r>
          </w:p>
        </w:tc>
        <w:tc>
          <w:tcPr>
            <w:tcW w:type="dxa" w:w="8352"/>
            <w:vAlign w:val="center"/>
          </w:tcPr>
          <w:p>
            <w:pPr>
              <w:jc w:val="left"/>
            </w:pPr>
            <w:r>
              <w:rPr>
                <w:rFonts w:ascii="Aptos" w:hAnsi="Aptos"/>
                <w:b w:val="0"/>
                <w:color w:val="23324D"/>
                <w:sz w:val="16"/>
              </w:rPr>
              <w:t>Restrained X-gradient: teal → aqua → sky → royal blue → violet. Use selectively.</w:t>
            </w:r>
          </w:p>
        </w:tc>
      </w:tr>
      <w:tr>
        <w:tc>
          <w:tcPr>
            <w:tcW w:type="dxa" w:w="2160"/>
            <w:shd w:fill="F5F7FB"/>
            <w:vAlign w:val="center"/>
          </w:tcPr>
          <w:p>
            <w:pPr>
              <w:jc w:val="left"/>
            </w:pPr>
            <w:r>
              <w:rPr>
                <w:rFonts w:ascii="Aptos" w:hAnsi="Aptos"/>
                <w:b/>
                <w:color w:val="0F2345"/>
                <w:sz w:val="16"/>
              </w:rPr>
              <w:t>Typography</w:t>
            </w:r>
          </w:p>
        </w:tc>
        <w:tc>
          <w:tcPr>
            <w:tcW w:type="dxa" w:w="8352"/>
            <w:vAlign w:val="center"/>
          </w:tcPr>
          <w:p>
            <w:pPr>
              <w:jc w:val="left"/>
            </w:pPr>
            <w:r>
              <w:rPr>
                <w:rFonts w:ascii="Aptos" w:hAnsi="Aptos"/>
                <w:b w:val="0"/>
                <w:color w:val="23324D"/>
                <w:sz w:val="16"/>
              </w:rPr>
              <w:t>Inter / Geist / Manrope / Plus Jakarta Sans style. Strong hierarchy; no oversized marketing typography inside operational screens.</w:t>
            </w:r>
          </w:p>
        </w:tc>
      </w:tr>
      <w:tr>
        <w:tc>
          <w:tcPr>
            <w:tcW w:type="dxa" w:w="2160"/>
            <w:shd w:fill="F5F7FB"/>
            <w:vAlign w:val="center"/>
          </w:tcPr>
          <w:p>
            <w:pPr>
              <w:jc w:val="left"/>
            </w:pPr>
            <w:r>
              <w:rPr>
                <w:rFonts w:ascii="Aptos" w:hAnsi="Aptos"/>
                <w:b/>
                <w:color w:val="0F2345"/>
                <w:sz w:val="16"/>
              </w:rPr>
              <w:t>Radius</w:t>
            </w:r>
          </w:p>
        </w:tc>
        <w:tc>
          <w:tcPr>
            <w:tcW w:type="dxa" w:w="8352"/>
            <w:vAlign w:val="center"/>
          </w:tcPr>
          <w:p>
            <w:pPr>
              <w:jc w:val="left"/>
            </w:pPr>
            <w:r>
              <w:rPr>
                <w:rFonts w:ascii="Aptos" w:hAnsi="Aptos"/>
                <w:b w:val="0"/>
                <w:color w:val="23324D"/>
                <w:sz w:val="16"/>
              </w:rPr>
              <w:t>10–14px operational controls; 18–24px larger surfaces where justified.</w:t>
            </w:r>
          </w:p>
        </w:tc>
      </w:tr>
      <w:tr>
        <w:tc>
          <w:tcPr>
            <w:tcW w:type="dxa" w:w="2160"/>
            <w:shd w:fill="F5F7FB"/>
            <w:vAlign w:val="center"/>
          </w:tcPr>
          <w:p>
            <w:pPr>
              <w:jc w:val="left"/>
            </w:pPr>
            <w:r>
              <w:rPr>
                <w:rFonts w:ascii="Aptos" w:hAnsi="Aptos"/>
                <w:b/>
                <w:color w:val="0F2345"/>
                <w:sz w:val="16"/>
              </w:rPr>
              <w:t>Motion</w:t>
            </w:r>
          </w:p>
        </w:tc>
        <w:tc>
          <w:tcPr>
            <w:tcW w:type="dxa" w:w="8352"/>
            <w:vAlign w:val="center"/>
          </w:tcPr>
          <w:p>
            <w:pPr>
              <w:jc w:val="left"/>
            </w:pPr>
            <w:r>
              <w:rPr>
                <w:rFonts w:ascii="Aptos" w:hAnsi="Aptos"/>
                <w:b w:val="0"/>
                <w:color w:val="23324D"/>
                <w:sz w:val="16"/>
              </w:rPr>
              <w:t>120–240ms standard UI motion; reduced-motion support required.</w:t>
            </w:r>
          </w:p>
        </w:tc>
      </w:tr>
      <w:tr>
        <w:tc>
          <w:tcPr>
            <w:tcW w:type="dxa" w:w="2160"/>
            <w:shd w:fill="F5F7FB"/>
            <w:vAlign w:val="center"/>
          </w:tcPr>
          <w:p>
            <w:pPr>
              <w:jc w:val="left"/>
            </w:pPr>
            <w:r>
              <w:rPr>
                <w:rFonts w:ascii="Aptos" w:hAnsi="Aptos"/>
                <w:b/>
                <w:color w:val="0F2345"/>
                <w:sz w:val="16"/>
              </w:rPr>
              <w:t>Density</w:t>
            </w:r>
          </w:p>
        </w:tc>
        <w:tc>
          <w:tcPr>
            <w:tcW w:type="dxa" w:w="8352"/>
            <w:vAlign w:val="center"/>
          </w:tcPr>
          <w:p>
            <w:pPr>
              <w:jc w:val="left"/>
            </w:pPr>
            <w:r>
              <w:rPr>
                <w:rFonts w:ascii="Aptos" w:hAnsi="Aptos"/>
                <w:b w:val="0"/>
                <w:color w:val="23324D"/>
                <w:sz w:val="16"/>
              </w:rPr>
              <w:t>Desktop should feel information-rich but not cramped. Mobile should prioritize action and personal information.</w:t>
            </w:r>
          </w:p>
        </w:tc>
      </w:tr>
    </w:tbl>
    <w:p/>
    <w:p>
      <w:pPr>
        <w:pStyle w:val="Heading1"/>
      </w:pPr>
      <w:r>
        <w:t>4. Canonical responsive shell</w:t>
      </w:r>
    </w:p>
    <w:p>
      <w:pPr>
        <w:pStyle w:val="ListBullet"/>
        <w:spacing w:after="40"/>
      </w:pPr>
      <w:r>
        <w:t>Desktop: navy structural sidebar, light top bar, responsive content canvas, institution context, universal search, notifications, profile.</w:t>
      </w:r>
    </w:p>
    <w:p>
      <w:pPr>
        <w:pStyle w:val="ListBullet"/>
        <w:spacing w:after="40"/>
      </w:pPr>
      <w:r>
        <w:t>Tablet: collapsed/icon sidebar or compact rail, slide-over filters/details when horizontal space is constrained.</w:t>
      </w:r>
    </w:p>
    <w:p>
      <w:pPr>
        <w:pStyle w:val="ListBullet"/>
        <w:spacing w:after="40"/>
      </w:pPr>
      <w:r>
        <w:t>Mobile PWA: drawer navigation plus bottom navigation for highest-frequency employee tasks. Preserve module/permission rules.</w:t>
      </w:r>
    </w:p>
    <w:p>
      <w:pPr>
        <w:pStyle w:val="ListBullet"/>
        <w:spacing w:after="40"/>
      </w:pPr>
      <w:r>
        <w:t>Sidebar supports expanded/collapsed states; brand transitions between full ErgonX wordmark and X mark.</w:t>
      </w:r>
    </w:p>
    <w:p>
      <w:pPr>
        <w:pStyle w:val="ListBullet"/>
        <w:spacing w:after="40"/>
      </w:pPr>
      <w:r>
        <w:t>Institution logo may appear in tenant identity areas, while ErgonX remains present in the global shell/app identity.</w:t>
      </w:r>
    </w:p>
    <w:p>
      <w:pPr>
        <w:pStyle w:val="Heading1"/>
      </w:pPr>
      <w:r>
        <w:t>5. Canonical component family</w:t>
      </w:r>
    </w:p>
    <w:tbl>
      <w:tblPr>
        <w:tblStyle w:val="TableGrid"/>
        <w:tblW w:type="auto" w:w="0"/>
        <w:jc w:val="center"/>
        <w:tblLook w:firstColumn="1" w:firstRow="1" w:lastColumn="0" w:lastRow="0" w:noHBand="0" w:noVBand="1" w:val="04A0"/>
      </w:tblPr>
      <w:tblGrid>
        <w:gridCol w:w="5184"/>
        <w:gridCol w:w="5184"/>
      </w:tblGrid>
      <w:tr>
        <w:tc>
          <w:tcPr>
            <w:tcW w:type="dxa" w:w="2160"/>
            <w:shd w:fill="0F2345"/>
            <w:vAlign w:val="center"/>
          </w:tcPr>
          <w:p>
            <w:pPr>
              <w:jc w:val="left"/>
            </w:pPr>
            <w:r>
              <w:rPr>
                <w:rFonts w:ascii="Aptos" w:hAnsi="Aptos"/>
                <w:b/>
                <w:color w:val="FFFFFF"/>
                <w:sz w:val="17"/>
              </w:rPr>
              <w:t>Foundation</w:t>
            </w:r>
          </w:p>
        </w:tc>
        <w:tc>
          <w:tcPr>
            <w:tcW w:type="dxa" w:w="8352"/>
            <w:shd w:fill="0F2345"/>
            <w:vAlign w:val="center"/>
          </w:tcPr>
          <w:p>
            <w:pPr>
              <w:jc w:val="left"/>
            </w:pPr>
            <w:r>
              <w:rPr>
                <w:rFonts w:ascii="Aptos" w:hAnsi="Aptos"/>
                <w:b/>
                <w:color w:val="FFFFFF"/>
                <w:sz w:val="17"/>
              </w:rPr>
              <w:t>Components</w:t>
            </w:r>
          </w:p>
        </w:tc>
      </w:tr>
      <w:tr>
        <w:tc>
          <w:tcPr>
            <w:tcW w:type="dxa" w:w="2160"/>
            <w:shd w:fill="F5F7FB"/>
            <w:vAlign w:val="center"/>
          </w:tcPr>
          <w:p>
            <w:pPr>
              <w:jc w:val="left"/>
            </w:pPr>
            <w:r>
              <w:rPr>
                <w:rFonts w:ascii="Aptos" w:hAnsi="Aptos"/>
                <w:b/>
                <w:color w:val="0F2345"/>
                <w:sz w:val="16"/>
              </w:rPr>
              <w:t>Shell</w:t>
            </w:r>
          </w:p>
        </w:tc>
        <w:tc>
          <w:tcPr>
            <w:tcW w:type="dxa" w:w="8352"/>
            <w:vAlign w:val="center"/>
          </w:tcPr>
          <w:p>
            <w:pPr>
              <w:jc w:val="left"/>
            </w:pPr>
            <w:r>
              <w:rPr>
                <w:rFonts w:ascii="Aptos" w:hAnsi="Aptos"/>
                <w:b w:val="0"/>
                <w:color w:val="23324D"/>
                <w:sz w:val="16"/>
              </w:rPr>
              <w:t>AppShell, Sidebar, MobileDrawer, BottomNav, TopBar, InstitutionSwitcher, UniversalSearch, NotificationBell, ProfileMenu</w:t>
            </w:r>
          </w:p>
        </w:tc>
      </w:tr>
      <w:tr>
        <w:tc>
          <w:tcPr>
            <w:tcW w:type="dxa" w:w="2160"/>
            <w:shd w:fill="F5F7FB"/>
            <w:vAlign w:val="center"/>
          </w:tcPr>
          <w:p>
            <w:pPr>
              <w:jc w:val="left"/>
            </w:pPr>
            <w:r>
              <w:rPr>
                <w:rFonts w:ascii="Aptos" w:hAnsi="Aptos"/>
                <w:b/>
                <w:color w:val="0F2345"/>
                <w:sz w:val="16"/>
              </w:rPr>
              <w:t>Page structure</w:t>
            </w:r>
          </w:p>
        </w:tc>
        <w:tc>
          <w:tcPr>
            <w:tcW w:type="dxa" w:w="8352"/>
            <w:vAlign w:val="center"/>
          </w:tcPr>
          <w:p>
            <w:pPr>
              <w:jc w:val="left"/>
            </w:pPr>
            <w:r>
              <w:rPr>
                <w:rFonts w:ascii="Aptos" w:hAnsi="Aptos"/>
                <w:b w:val="0"/>
                <w:color w:val="23324D"/>
                <w:sz w:val="16"/>
              </w:rPr>
              <w:t>PageHeader, Breadcrumbs, PageActions, SectionCard, DetailPanel, Drawer, Tabs</w:t>
            </w:r>
          </w:p>
        </w:tc>
      </w:tr>
      <w:tr>
        <w:tc>
          <w:tcPr>
            <w:tcW w:type="dxa" w:w="2160"/>
            <w:shd w:fill="F5F7FB"/>
            <w:vAlign w:val="center"/>
          </w:tcPr>
          <w:p>
            <w:pPr>
              <w:jc w:val="left"/>
            </w:pPr>
            <w:r>
              <w:rPr>
                <w:rFonts w:ascii="Aptos" w:hAnsi="Aptos"/>
                <w:b/>
                <w:color w:val="0F2345"/>
                <w:sz w:val="16"/>
              </w:rPr>
              <w:t>Data</w:t>
            </w:r>
          </w:p>
        </w:tc>
        <w:tc>
          <w:tcPr>
            <w:tcW w:type="dxa" w:w="8352"/>
            <w:vAlign w:val="center"/>
          </w:tcPr>
          <w:p>
            <w:pPr>
              <w:jc w:val="left"/>
            </w:pPr>
            <w:r>
              <w:rPr>
                <w:rFonts w:ascii="Aptos" w:hAnsi="Aptos"/>
                <w:b w:val="0"/>
                <w:color w:val="23324D"/>
                <w:sz w:val="16"/>
              </w:rPr>
              <w:t>DataTable, DataTableToolbar, ColumnPicker, FilterBar, FilterDrawer, Pagination, SearchField</w:t>
            </w:r>
          </w:p>
        </w:tc>
      </w:tr>
      <w:tr>
        <w:tc>
          <w:tcPr>
            <w:tcW w:type="dxa" w:w="2160"/>
            <w:shd w:fill="F5F7FB"/>
            <w:vAlign w:val="center"/>
          </w:tcPr>
          <w:p>
            <w:pPr>
              <w:jc w:val="left"/>
            </w:pPr>
            <w:r>
              <w:rPr>
                <w:rFonts w:ascii="Aptos" w:hAnsi="Aptos"/>
                <w:b/>
                <w:color w:val="0F2345"/>
                <w:sz w:val="16"/>
              </w:rPr>
              <w:t>Status</w:t>
            </w:r>
          </w:p>
        </w:tc>
        <w:tc>
          <w:tcPr>
            <w:tcW w:type="dxa" w:w="8352"/>
            <w:vAlign w:val="center"/>
          </w:tcPr>
          <w:p>
            <w:pPr>
              <w:jc w:val="left"/>
            </w:pPr>
            <w:r>
              <w:rPr>
                <w:rFonts w:ascii="Aptos" w:hAnsi="Aptos"/>
                <w:b w:val="0"/>
                <w:color w:val="23324D"/>
                <w:sz w:val="16"/>
              </w:rPr>
              <w:t>StatusBadge, KPIStatCard, Progress/Lifecycle Stepper, ApprovalTimeline, AuditTimeline</w:t>
            </w:r>
          </w:p>
        </w:tc>
      </w:tr>
      <w:tr>
        <w:tc>
          <w:tcPr>
            <w:tcW w:type="dxa" w:w="2160"/>
            <w:shd w:fill="F5F7FB"/>
            <w:vAlign w:val="center"/>
          </w:tcPr>
          <w:p>
            <w:pPr>
              <w:jc w:val="left"/>
            </w:pPr>
            <w:r>
              <w:rPr>
                <w:rFonts w:ascii="Aptos" w:hAnsi="Aptos"/>
                <w:b/>
                <w:color w:val="0F2345"/>
                <w:sz w:val="16"/>
              </w:rPr>
              <w:t>Feedback</w:t>
            </w:r>
          </w:p>
        </w:tc>
        <w:tc>
          <w:tcPr>
            <w:tcW w:type="dxa" w:w="8352"/>
            <w:vAlign w:val="center"/>
          </w:tcPr>
          <w:p>
            <w:pPr>
              <w:jc w:val="left"/>
            </w:pPr>
            <w:r>
              <w:rPr>
                <w:rFonts w:ascii="Aptos" w:hAnsi="Aptos"/>
                <w:b w:val="0"/>
                <w:color w:val="23324D"/>
                <w:sz w:val="16"/>
              </w:rPr>
              <w:t>Toast, ConfirmationDialog, InlineBanner, EmptyState, ErrorState, PermissionState, LoadingState, Skeleton</w:t>
            </w:r>
          </w:p>
        </w:tc>
      </w:tr>
      <w:tr>
        <w:tc>
          <w:tcPr>
            <w:tcW w:type="dxa" w:w="2160"/>
            <w:shd w:fill="F5F7FB"/>
            <w:vAlign w:val="center"/>
          </w:tcPr>
          <w:p>
            <w:pPr>
              <w:jc w:val="left"/>
            </w:pPr>
            <w:r>
              <w:rPr>
                <w:rFonts w:ascii="Aptos" w:hAnsi="Aptos"/>
                <w:b/>
                <w:color w:val="0F2345"/>
                <w:sz w:val="16"/>
              </w:rPr>
              <w:t>Forms</w:t>
            </w:r>
          </w:p>
        </w:tc>
        <w:tc>
          <w:tcPr>
            <w:tcW w:type="dxa" w:w="8352"/>
            <w:vAlign w:val="center"/>
          </w:tcPr>
          <w:p>
            <w:pPr>
              <w:jc w:val="left"/>
            </w:pPr>
            <w:r>
              <w:rPr>
                <w:rFonts w:ascii="Aptos" w:hAnsi="Aptos"/>
                <w:b w:val="0"/>
                <w:color w:val="23324D"/>
                <w:sz w:val="16"/>
              </w:rPr>
              <w:t>Input, Select, Combobox, DatePicker, FileUpload, RichText, Toggle, Checkbox, Radio, Stepper</w:t>
            </w:r>
          </w:p>
        </w:tc>
      </w:tr>
      <w:tr>
        <w:tc>
          <w:tcPr>
            <w:tcW w:type="dxa" w:w="2160"/>
            <w:shd w:fill="F5F7FB"/>
            <w:vAlign w:val="center"/>
          </w:tcPr>
          <w:p>
            <w:pPr>
              <w:jc w:val="left"/>
            </w:pPr>
            <w:r>
              <w:rPr>
                <w:rFonts w:ascii="Aptos" w:hAnsi="Aptos"/>
                <w:b/>
                <w:color w:val="0F2345"/>
                <w:sz w:val="16"/>
              </w:rPr>
              <w:t>Analytics</w:t>
            </w:r>
          </w:p>
        </w:tc>
        <w:tc>
          <w:tcPr>
            <w:tcW w:type="dxa" w:w="8352"/>
            <w:vAlign w:val="center"/>
          </w:tcPr>
          <w:p>
            <w:pPr>
              <w:jc w:val="left"/>
            </w:pPr>
            <w:r>
              <w:rPr>
                <w:rFonts w:ascii="Aptos" w:hAnsi="Aptos"/>
                <w:b w:val="0"/>
                <w:color w:val="23324D"/>
                <w:sz w:val="16"/>
              </w:rPr>
              <w:t>KPI cards, ranking bars, line charts, heatmaps/calendars, exception tables, selective donut charts</w:t>
            </w:r>
          </w:p>
        </w:tc>
      </w:tr>
    </w:tbl>
    <w:p/>
    <w:p>
      <w:pPr>
        <w:pStyle w:val="Heading1"/>
      </w:pPr>
      <w:r>
        <w:t>6. Screen families Stitch must normalize</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0F2345"/>
            <w:vAlign w:val="center"/>
          </w:tcPr>
          <w:p>
            <w:pPr>
              <w:jc w:val="left"/>
            </w:pPr>
            <w:r>
              <w:rPr>
                <w:rFonts w:ascii="Aptos" w:hAnsi="Aptos"/>
                <w:b/>
                <w:color w:val="FFFFFF"/>
                <w:sz w:val="17"/>
              </w:rPr>
              <w:t>Family</w:t>
            </w:r>
          </w:p>
        </w:tc>
        <w:tc>
          <w:tcPr>
            <w:tcW w:type="dxa" w:w="4752"/>
            <w:shd w:fill="0F2345"/>
            <w:vAlign w:val="center"/>
          </w:tcPr>
          <w:p>
            <w:pPr>
              <w:jc w:val="left"/>
            </w:pPr>
            <w:r>
              <w:rPr>
                <w:rFonts w:ascii="Aptos" w:hAnsi="Aptos"/>
                <w:b/>
                <w:color w:val="FFFFFF"/>
                <w:sz w:val="17"/>
              </w:rPr>
              <w:t>Key screens</w:t>
            </w:r>
          </w:p>
        </w:tc>
        <w:tc>
          <w:tcPr>
            <w:tcW w:type="dxa" w:w="5328"/>
            <w:shd w:fill="0F2345"/>
            <w:vAlign w:val="center"/>
          </w:tcPr>
          <w:p>
            <w:pPr>
              <w:jc w:val="left"/>
            </w:pPr>
            <w:r>
              <w:rPr>
                <w:rFonts w:ascii="Aptos" w:hAnsi="Aptos"/>
                <w:b/>
                <w:color w:val="FFFFFF"/>
                <w:sz w:val="17"/>
              </w:rPr>
              <w:t>Design rule</w:t>
            </w:r>
          </w:p>
        </w:tc>
      </w:tr>
      <w:tr>
        <w:tc>
          <w:tcPr>
            <w:tcW w:type="dxa" w:w="2088"/>
            <w:shd w:fill="F5F7FB"/>
            <w:vAlign w:val="center"/>
          </w:tcPr>
          <w:p>
            <w:pPr>
              <w:jc w:val="left"/>
            </w:pPr>
            <w:r>
              <w:rPr>
                <w:rFonts w:ascii="Aptos" w:hAnsi="Aptos"/>
                <w:b/>
                <w:color w:val="0F2345"/>
                <w:sz w:val="16"/>
              </w:rPr>
              <w:t>Platform</w:t>
            </w:r>
          </w:p>
        </w:tc>
        <w:tc>
          <w:tcPr>
            <w:tcW w:type="dxa" w:w="4752"/>
            <w:vAlign w:val="center"/>
          </w:tcPr>
          <w:p>
            <w:pPr>
              <w:jc w:val="left"/>
            </w:pPr>
            <w:r>
              <w:rPr>
                <w:rFonts w:ascii="Aptos" w:hAnsi="Aptos"/>
                <w:b w:val="0"/>
                <w:color w:val="23324D"/>
                <w:sz w:val="16"/>
              </w:rPr>
              <w:t>Login, registration, loading/splash, Home, search, notifications, preferences, security</w:t>
            </w:r>
          </w:p>
        </w:tc>
        <w:tc>
          <w:tcPr>
            <w:tcW w:type="dxa" w:w="5328"/>
            <w:vAlign w:val="center"/>
          </w:tcPr>
          <w:p>
            <w:pPr>
              <w:jc w:val="left"/>
            </w:pPr>
            <w:r>
              <w:rPr>
                <w:rFonts w:ascii="Aptos" w:hAnsi="Aptos"/>
                <w:b w:val="0"/>
                <w:color w:val="23324D"/>
                <w:sz w:val="16"/>
              </w:rPr>
              <w:t>Shared shell and states; no arbitrary per-page styling.</w:t>
            </w:r>
          </w:p>
        </w:tc>
      </w:tr>
      <w:tr>
        <w:tc>
          <w:tcPr>
            <w:tcW w:type="dxa" w:w="2088"/>
            <w:shd w:fill="F5F7FB"/>
            <w:vAlign w:val="center"/>
          </w:tcPr>
          <w:p>
            <w:pPr>
              <w:jc w:val="left"/>
            </w:pPr>
            <w:r>
              <w:rPr>
                <w:rFonts w:ascii="Aptos" w:hAnsi="Aptos"/>
                <w:b/>
                <w:color w:val="0F2345"/>
                <w:sz w:val="16"/>
              </w:rPr>
              <w:t>Executive/Analytics</w:t>
            </w:r>
          </w:p>
        </w:tc>
        <w:tc>
          <w:tcPr>
            <w:tcW w:type="dxa" w:w="4752"/>
            <w:vAlign w:val="center"/>
          </w:tcPr>
          <w:p>
            <w:pPr>
              <w:jc w:val="left"/>
            </w:pPr>
            <w:r>
              <w:rPr>
                <w:rFonts w:ascii="Aptos" w:hAnsi="Aptos"/>
                <w:b w:val="0"/>
                <w:color w:val="23324D"/>
                <w:sz w:val="16"/>
              </w:rPr>
              <w:t>Executive Dashboard, Insights, HR Dashboard, Accounting Dashboard</w:t>
            </w:r>
          </w:p>
        </w:tc>
        <w:tc>
          <w:tcPr>
            <w:tcW w:type="dxa" w:w="5328"/>
            <w:vAlign w:val="center"/>
          </w:tcPr>
          <w:p>
            <w:pPr>
              <w:jc w:val="left"/>
            </w:pPr>
            <w:r>
              <w:rPr>
                <w:rFonts w:ascii="Aptos" w:hAnsi="Aptos"/>
                <w:b w:val="0"/>
                <w:color w:val="23324D"/>
                <w:sz w:val="16"/>
              </w:rPr>
              <w:t>Distinct audience and data scope; same visual grammar.</w:t>
            </w:r>
          </w:p>
        </w:tc>
      </w:tr>
      <w:tr>
        <w:tc>
          <w:tcPr>
            <w:tcW w:type="dxa" w:w="2088"/>
            <w:shd w:fill="F5F7FB"/>
            <w:vAlign w:val="center"/>
          </w:tcPr>
          <w:p>
            <w:pPr>
              <w:jc w:val="left"/>
            </w:pPr>
            <w:r>
              <w:rPr>
                <w:rFonts w:ascii="Aptos" w:hAnsi="Aptos"/>
                <w:b/>
                <w:color w:val="0F2345"/>
                <w:sz w:val="16"/>
              </w:rPr>
              <w:t>HR</w:t>
            </w:r>
          </w:p>
        </w:tc>
        <w:tc>
          <w:tcPr>
            <w:tcW w:type="dxa" w:w="4752"/>
            <w:vAlign w:val="center"/>
          </w:tcPr>
          <w:p>
            <w:pPr>
              <w:jc w:val="left"/>
            </w:pPr>
            <w:r>
              <w:rPr>
                <w:rFonts w:ascii="Aptos" w:hAnsi="Aptos"/>
                <w:b w:val="0"/>
                <w:color w:val="23324D"/>
                <w:sz w:val="16"/>
              </w:rPr>
              <w:t>Employees, Employee Detail, lifecycle actions</w:t>
            </w:r>
          </w:p>
        </w:tc>
        <w:tc>
          <w:tcPr>
            <w:tcW w:type="dxa" w:w="5328"/>
            <w:vAlign w:val="center"/>
          </w:tcPr>
          <w:p>
            <w:pPr>
              <w:jc w:val="left"/>
            </w:pPr>
            <w:r>
              <w:rPr>
                <w:rFonts w:ascii="Aptos" w:hAnsi="Aptos"/>
                <w:b w:val="0"/>
                <w:color w:val="23324D"/>
                <w:sz w:val="16"/>
              </w:rPr>
              <w:t>Strong scanability; side previews; governed actions.</w:t>
            </w:r>
          </w:p>
        </w:tc>
      </w:tr>
      <w:tr>
        <w:tc>
          <w:tcPr>
            <w:tcW w:type="dxa" w:w="2088"/>
            <w:shd w:fill="F5F7FB"/>
            <w:vAlign w:val="center"/>
          </w:tcPr>
          <w:p>
            <w:pPr>
              <w:jc w:val="left"/>
            </w:pPr>
            <w:r>
              <w:rPr>
                <w:rFonts w:ascii="Aptos" w:hAnsi="Aptos"/>
                <w:b/>
                <w:color w:val="0F2345"/>
                <w:sz w:val="16"/>
              </w:rPr>
              <w:t>Recruitment</w:t>
            </w:r>
          </w:p>
        </w:tc>
        <w:tc>
          <w:tcPr>
            <w:tcW w:type="dxa" w:w="4752"/>
            <w:vAlign w:val="center"/>
          </w:tcPr>
          <w:p>
            <w:pPr>
              <w:jc w:val="left"/>
            </w:pPr>
            <w:r>
              <w:rPr>
                <w:rFonts w:ascii="Aptos" w:hAnsi="Aptos"/>
                <w:b w:val="0"/>
                <w:color w:val="23324D"/>
                <w:sz w:val="16"/>
              </w:rPr>
              <w:t>Requisition, pipeline, candidate, interview, offer, lineage</w:t>
            </w:r>
          </w:p>
        </w:tc>
        <w:tc>
          <w:tcPr>
            <w:tcW w:type="dxa" w:w="5328"/>
            <w:vAlign w:val="center"/>
          </w:tcPr>
          <w:p>
            <w:pPr>
              <w:jc w:val="left"/>
            </w:pPr>
            <w:r>
              <w:rPr>
                <w:rFonts w:ascii="Aptos" w:hAnsi="Aptos"/>
                <w:b w:val="0"/>
                <w:color w:val="23324D"/>
                <w:sz w:val="16"/>
              </w:rPr>
              <w:t>Lifecycle clarity; approval and audit visibility.</w:t>
            </w:r>
          </w:p>
        </w:tc>
      </w:tr>
      <w:tr>
        <w:tc>
          <w:tcPr>
            <w:tcW w:type="dxa" w:w="2088"/>
            <w:shd w:fill="F5F7FB"/>
            <w:vAlign w:val="center"/>
          </w:tcPr>
          <w:p>
            <w:pPr>
              <w:jc w:val="left"/>
            </w:pPr>
            <w:r>
              <w:rPr>
                <w:rFonts w:ascii="Aptos" w:hAnsi="Aptos"/>
                <w:b/>
                <w:color w:val="0F2345"/>
                <w:sz w:val="16"/>
              </w:rPr>
              <w:t>Leave/Attendance</w:t>
            </w:r>
          </w:p>
        </w:tc>
        <w:tc>
          <w:tcPr>
            <w:tcW w:type="dxa" w:w="4752"/>
            <w:vAlign w:val="center"/>
          </w:tcPr>
          <w:p>
            <w:pPr>
              <w:jc w:val="left"/>
            </w:pPr>
            <w:r>
              <w:rPr>
                <w:rFonts w:ascii="Aptos" w:hAnsi="Aptos"/>
                <w:b w:val="0"/>
                <w:color w:val="23324D"/>
                <w:sz w:val="16"/>
              </w:rPr>
              <w:t>Dashboards, request/review, adjustments, self-service</w:t>
            </w:r>
          </w:p>
        </w:tc>
        <w:tc>
          <w:tcPr>
            <w:tcW w:type="dxa" w:w="5328"/>
            <w:vAlign w:val="center"/>
          </w:tcPr>
          <w:p>
            <w:pPr>
              <w:jc w:val="left"/>
            </w:pPr>
            <w:r>
              <w:rPr>
                <w:rFonts w:ascii="Aptos" w:hAnsi="Aptos"/>
                <w:b w:val="0"/>
                <w:color w:val="23324D"/>
                <w:sz w:val="16"/>
              </w:rPr>
              <w:t>Calendars and exceptions first; policy state explicit.</w:t>
            </w:r>
          </w:p>
        </w:tc>
      </w:tr>
      <w:tr>
        <w:tc>
          <w:tcPr>
            <w:tcW w:type="dxa" w:w="2088"/>
            <w:shd w:fill="F5F7FB"/>
            <w:vAlign w:val="center"/>
          </w:tcPr>
          <w:p>
            <w:pPr>
              <w:jc w:val="left"/>
            </w:pPr>
            <w:r>
              <w:rPr>
                <w:rFonts w:ascii="Aptos" w:hAnsi="Aptos"/>
                <w:b/>
                <w:color w:val="0F2345"/>
                <w:sz w:val="16"/>
              </w:rPr>
              <w:t>Payroll</w:t>
            </w:r>
          </w:p>
        </w:tc>
        <w:tc>
          <w:tcPr>
            <w:tcW w:type="dxa" w:w="4752"/>
            <w:vAlign w:val="center"/>
          </w:tcPr>
          <w:p>
            <w:pPr>
              <w:jc w:val="left"/>
            </w:pPr>
            <w:r>
              <w:rPr>
                <w:rFonts w:ascii="Aptos" w:hAnsi="Aptos"/>
                <w:b w:val="0"/>
                <w:color w:val="23324D"/>
                <w:sz w:val="16"/>
              </w:rPr>
              <w:t>Workspace, run detail, exceptions, payslips</w:t>
            </w:r>
          </w:p>
        </w:tc>
        <w:tc>
          <w:tcPr>
            <w:tcW w:type="dxa" w:w="5328"/>
            <w:vAlign w:val="center"/>
          </w:tcPr>
          <w:p>
            <w:pPr>
              <w:jc w:val="left"/>
            </w:pPr>
            <w:r>
              <w:rPr>
                <w:rFonts w:ascii="Aptos" w:hAnsi="Aptos"/>
                <w:b w:val="0"/>
                <w:color w:val="23324D"/>
                <w:sz w:val="16"/>
              </w:rPr>
              <w:t>Validation and governance visible; sensitive data protected.</w:t>
            </w:r>
          </w:p>
        </w:tc>
      </w:tr>
      <w:tr>
        <w:tc>
          <w:tcPr>
            <w:tcW w:type="dxa" w:w="2088"/>
            <w:shd w:fill="F5F7FB"/>
            <w:vAlign w:val="center"/>
          </w:tcPr>
          <w:p>
            <w:pPr>
              <w:jc w:val="left"/>
            </w:pPr>
            <w:r>
              <w:rPr>
                <w:rFonts w:ascii="Aptos" w:hAnsi="Aptos"/>
                <w:b/>
                <w:color w:val="0F2345"/>
                <w:sz w:val="16"/>
              </w:rPr>
              <w:t>Accounting</w:t>
            </w:r>
          </w:p>
        </w:tc>
        <w:tc>
          <w:tcPr>
            <w:tcW w:type="dxa" w:w="4752"/>
            <w:vAlign w:val="center"/>
          </w:tcPr>
          <w:p>
            <w:pPr>
              <w:jc w:val="left"/>
            </w:pPr>
            <w:r>
              <w:rPr>
                <w:rFonts w:ascii="Aptos" w:hAnsi="Aptos"/>
                <w:b w:val="0"/>
                <w:color w:val="23324D"/>
                <w:sz w:val="16"/>
              </w:rPr>
              <w:t>GL, AP, AR, Expenses, reconciliation, budgets, financial reports</w:t>
            </w:r>
          </w:p>
        </w:tc>
        <w:tc>
          <w:tcPr>
            <w:tcW w:type="dxa" w:w="5328"/>
            <w:vAlign w:val="center"/>
          </w:tcPr>
          <w:p>
            <w:pPr>
              <w:jc w:val="left"/>
            </w:pPr>
            <w:r>
              <w:rPr>
                <w:rFonts w:ascii="Aptos" w:hAnsi="Aptos"/>
                <w:b w:val="0"/>
                <w:color w:val="23324D"/>
                <w:sz w:val="16"/>
              </w:rPr>
              <w:t>Dense but disciplined financial UX; backend state authoritative.</w:t>
            </w:r>
          </w:p>
        </w:tc>
      </w:tr>
      <w:tr>
        <w:tc>
          <w:tcPr>
            <w:tcW w:type="dxa" w:w="2088"/>
            <w:shd w:fill="F5F7FB"/>
            <w:vAlign w:val="center"/>
          </w:tcPr>
          <w:p>
            <w:pPr>
              <w:jc w:val="left"/>
            </w:pPr>
            <w:r>
              <w:rPr>
                <w:rFonts w:ascii="Aptos" w:hAnsi="Aptos"/>
                <w:b/>
                <w:color w:val="0F2345"/>
                <w:sz w:val="16"/>
              </w:rPr>
              <w:t>Administration</w:t>
            </w:r>
          </w:p>
        </w:tc>
        <w:tc>
          <w:tcPr>
            <w:tcW w:type="dxa" w:w="4752"/>
            <w:vAlign w:val="center"/>
          </w:tcPr>
          <w:p>
            <w:pPr>
              <w:jc w:val="left"/>
            </w:pPr>
            <w:r>
              <w:rPr>
                <w:rFonts w:ascii="Aptos" w:hAnsi="Aptos"/>
                <w:b w:val="0"/>
                <w:color w:val="23324D"/>
                <w:sz w:val="16"/>
              </w:rPr>
              <w:t>Roles, Users &amp; Access, modules, institution profile, approval workflows</w:t>
            </w:r>
          </w:p>
        </w:tc>
        <w:tc>
          <w:tcPr>
            <w:tcW w:type="dxa" w:w="5328"/>
            <w:vAlign w:val="center"/>
          </w:tcPr>
          <w:p>
            <w:pPr>
              <w:jc w:val="left"/>
            </w:pPr>
            <w:r>
              <w:rPr>
                <w:rFonts w:ascii="Aptos" w:hAnsi="Aptos"/>
                <w:b w:val="0"/>
                <w:color w:val="23324D"/>
                <w:sz w:val="16"/>
              </w:rPr>
              <w:t>Configuration changes require clear review/confirmation patterns.</w:t>
            </w:r>
          </w:p>
        </w:tc>
      </w:tr>
    </w:tbl>
    <w:p/>
    <w:p>
      <w:pPr>
        <w:pStyle w:val="Heading1"/>
      </w:pPr>
      <w:r>
        <w:t>7. Dashboard visualization governance</w:t>
      </w:r>
    </w:p>
    <w:p>
      <w:pPr>
        <w:pStyle w:val="ListBullet"/>
        <w:spacing w:after="40"/>
      </w:pPr>
      <w:r>
        <w:t>Use the analytical form best suited to the question; do not repeat the same chart type across every card.</w:t>
      </w:r>
    </w:p>
    <w:p>
      <w:pPr>
        <w:pStyle w:val="ListBullet"/>
        <w:spacing w:after="40"/>
      </w:pPr>
      <w:r>
        <w:t>Hard acceptance rule: maximum two instances of the same visualization type on a single dashboard.</w:t>
      </w:r>
    </w:p>
    <w:p>
      <w:pPr>
        <w:pStyle w:val="ListBullet"/>
        <w:spacing w:after="40"/>
      </w:pPr>
      <w:r>
        <w:t>Prefer ranking bars for rankings, line charts for trends, heatmaps/calendars for time patterns, tables for exceptions, KPI cards for isolated values.</w:t>
      </w:r>
    </w:p>
    <w:p>
      <w:pPr>
        <w:pStyle w:val="ListBullet"/>
        <w:spacing w:after="40"/>
      </w:pPr>
      <w:r>
        <w:t>Do not invent module-performance, productivity, employee scoring or compliance metrics without a defined backend calculation.</w:t>
      </w:r>
    </w:p>
    <w:p>
      <w:pPr>
        <w:pStyle w:val="ListBullet"/>
        <w:spacing w:after="40"/>
      </w:pPr>
      <w:r>
        <w:t>Where data is unavailable, show a designed empty state rather than sample values.</w:t>
      </w:r>
    </w:p>
    <w:p>
      <w:pPr>
        <w:pStyle w:val="Heading1"/>
      </w:pPr>
      <w:r>
        <w:t>8. Prompt to use in Google Stitch</w:t>
      </w:r>
    </w:p>
    <w:tbl>
      <w:tblPr>
        <w:tblW w:type="auto" w:w="0"/>
        <w:jc w:val="center"/>
        <w:tblLayout w:type="autofit"/>
        <w:tblLook w:firstColumn="1" w:firstRow="1" w:lastColumn="0" w:lastRow="0" w:noHBand="0" w:noVBand="1" w:val="04A0"/>
      </w:tblPr>
      <w:tblGrid>
        <w:gridCol w:w="10368"/>
      </w:tblGrid>
      <w:tr>
        <w:tc>
          <w:tcPr>
            <w:tcW w:type="dxa" w:w="10368"/>
            <w:shd w:fill="EEF3FA"/>
            <w:vAlign w:val="center"/>
          </w:tcPr>
          <w:p>
            <w:pPr>
              <w:jc w:val="left"/>
            </w:pPr>
            <w:r>
              <w:rPr>
                <w:rFonts w:ascii="Aptos" w:hAnsi="Aptos"/>
                <w:b/>
                <w:color w:val="0F2345"/>
                <w:sz w:val="19"/>
              </w:rPr>
              <w:t>Reproduce and refine the attached ErgonX Phase 2 concept screens into a coherent production-grade enterprise design system and responsive application UI. Preserve the existing ErgonX information architecture, workflow semantics and screen purpose; do not invent unsupported product behavior.</w:t>
              <w:br/>
              <w:br/>
              <w:t>Use ErgonX branding: deep navy structural navigation, white/soft-canvas content surfaces, royal blue as the primary action color, and restrained cyan/teal/blue/violet X-gradient accents. Keep the interface clean, executive, modern and institutional rather than decorative.</w:t>
              <w:br/>
              <w:br/>
              <w:t>Standardize the shell, typography, spacing, buttons, form controls, cards, data tables, filters, drawers, status badges, timelines, empty/error/loading/permission states, confirmation dialogs and responsive behavior. Create reusable components and variants rather than page-specific one-offs.</w:t>
              <w:br/>
              <w:br/>
              <w:t>Critical product rules:</w:t>
              <w:br/>
              <w:t>• Institution is the tenant boundary.</w:t>
              <w:br/>
              <w:t>• Executive Dashboard is for Institution Admin and Director/CEO equivalents.</w:t>
              <w:br/>
              <w:t>• Insights is for other authorized operational/admin roles.</w:t>
              <w:br/>
              <w:t>• Standard employees use Employee Home / My Workspace.</w:t>
              <w:br/>
              <w:t>• MFA is TOTP + email OTP only; do not design SMS OTP as active functionality.</w:t>
              <w:br/>
              <w:t>• Expenses is part of Accounting.</w:t>
              <w:br/>
              <w:t>• Disabled modules must disappear from relevant UI surfaces.</w:t>
              <w:br/>
              <w:t>• Finalized/posted records use correction/reversal/void/archive patterns instead of destructive edits.</w:t>
              <w:br/>
              <w:t>• Do not introduce Procurement, Learning, Performance, Benefits or other future modules into the active primary navigation unless explicitly marked future.</w:t>
              <w:br/>
              <w:t>• Never use demo values where production data may be absent; design governed empty states.</w:t>
              <w:br/>
              <w:br/>
              <w:t>Create responsive desktop, tablet and mobile/PWA variants. On mobile, use a drawer plus a concise bottom navigation for high-frequency employee tasks. On desktop, keep the navy sidebar as the primary structural anchor.</w:t>
              <w:br/>
              <w:br/>
              <w:t>For each screen, preserve the functional hierarchy from the reference concept, improve consistency and alignment, and ensure components map cleanly to implementation in Next.js + React + TypeScript + Tailwind. Do not redesign domain behavior.</w:t>
            </w:r>
          </w:p>
        </w:tc>
      </w:tr>
    </w:tbl>
    <w:p>
      <w:pPr>
        <w:spacing w:after="0"/>
      </w:pPr>
    </w:p>
    <w:p>
      <w:pPr>
        <w:pStyle w:val="Heading1"/>
      </w:pPr>
      <w:r>
        <w:t>9. Stitch acceptance gate</w:t>
      </w:r>
    </w:p>
    <w:p>
      <w:pPr>
        <w:pStyle w:val="ListNumber"/>
        <w:spacing w:after="40"/>
      </w:pPr>
      <w:r>
        <w:t>Approve one golden shell before reproducing all screens.</w:t>
      </w:r>
    </w:p>
    <w:p>
      <w:pPr>
        <w:pStyle w:val="ListNumber"/>
        <w:spacing w:after="40"/>
      </w:pPr>
      <w:r>
        <w:t>Approve one golden dense data-table screen and one golden dashboard screen.</w:t>
      </w:r>
    </w:p>
    <w:p>
      <w:pPr>
        <w:pStyle w:val="ListNumber"/>
        <w:spacing w:after="40"/>
      </w:pPr>
      <w:r>
        <w:t>Approve one golden self-service/mobile screen.</w:t>
      </w:r>
    </w:p>
    <w:p>
      <w:pPr>
        <w:pStyle w:val="ListNumber"/>
        <w:spacing w:after="40"/>
      </w:pPr>
      <w:r>
        <w:t>Verify component reuse and token consistency across all screens.</w:t>
      </w:r>
    </w:p>
    <w:p>
      <w:pPr>
        <w:pStyle w:val="ListNumber"/>
        <w:spacing w:after="40"/>
      </w:pPr>
      <w:r>
        <w:t>Verify desktop, tablet and mobile responsive states.</w:t>
      </w:r>
    </w:p>
    <w:p>
      <w:pPr>
        <w:pStyle w:val="ListNumber"/>
        <w:spacing w:after="40"/>
      </w:pPr>
      <w:r>
        <w:t>Verify all empty/error/loading/restricted states are designed.</w:t>
      </w:r>
    </w:p>
    <w:p>
      <w:pPr>
        <w:pStyle w:val="ListNumber"/>
        <w:spacing w:after="40"/>
      </w:pPr>
      <w:r>
        <w:t>Only then export/handoff screens to Codex for implementation.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ErgonX Phase 2 • Team Core5ive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234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7C5CF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17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