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House vs. God</w:t>
      </w:r>
    </w:p>
    <w:p>
      <w:r>
        <w:t>### Prompt:</w:t>
        <w:br/>
        <w:br/>
        <w:t xml:space="preserve">"I have a 15-year-old male patient who is a self-identified faith healer. He was brought to the hospital after collapsing during a service, complaining of severe abdominal pain and persistent muscle cramps. He also mentioned experiencing vivid hallucinations in which he believes he can hear divine messages. </w:t>
        <w:br/>
        <w:br/>
        <w:t xml:space="preserve">Upon examination, he exhibits significant lethargy, confusion, and has difficulty maintaining balance. Laboratory tests show severely diluted urine and low serum sodium levels. Further analysis reveals that he is consuming large quantities of water throughout the day, which he claims is a part of his purification ritual. </w:t>
        <w:br/>
        <w:br/>
        <w:t xml:space="preserve">Despite attempts to discuss his symptoms, he remains adamant about his religious beliefs and insists that he does not need a medical diagnosis or treatment. A preliminary MRI scan shows abnormal tissue growths in the brain. </w:t>
        <w:br/>
        <w:br/>
        <w:t>Considering these clinical signs, the abnormal laboratory findings, and his refusal of conventional medical intervention, what differential diagnoses should be considered, what further tests would be beneficial, and what ethical considerations should be addressed regarding his faith healing claims?"</w:t>
        <w:br/>
        <w:br/>
        <w:t>### Expected LLM Response:</w:t>
        <w:br/>
        <w:br/>
        <w:t>"In this scenario, the patient presents a complex case that combines psychiatric and physiological aspects due to his belief system as a faith healer. The critical factors to consider are his neurological symptoms, electrolyte imbalances, and abnormal MRI findings.</w:t>
        <w:br/>
        <w:br/>
        <w:t>Differential Diagnoses:</w:t>
        <w:br/>
        <w:br/>
        <w:t>1. **Tuberous Sclerosis**: Given the MRI findings of brain lesions and the patient's symptoms, tuberous sclerosis—a genetic disorder characterized by benign tumors in various organs, including the brain—should be a primary consideration.</w:t>
        <w:br/>
        <w:br/>
        <w:t>2. **Herpes Encephalitis**: The presence of neurological symptoms (confusion, hallucinations, and balance issues) coupled with abnormal MRI results raises the possibility of herpes encephalitis, particularly since it can also arise from sexual contact leading to complications in young individuals.</w:t>
        <w:br/>
        <w:br/>
        <w:t>3. **Psychogenic Polydipsia**: The patient's excessive water intake and neuropsychiatric symptoms may suggest a condition where psychological issues lead to compulsive drinking, negatively impacting his electrolyte balance.</w:t>
        <w:br/>
        <w:br/>
        <w:t>4. **Addison’s Disease**: Although ruled out initially, ongoing examination of the patient’s symptoms should include a re-evaluation of adrenal functions since low sodium levels can be indicative of a primary adrenal insufficiency.</w:t>
        <w:br/>
        <w:br/>
        <w:t>Recommended Diagnostic Tests:</w:t>
        <w:br/>
        <w:br/>
        <w:t>- **Lumbar Puncture (LP)**: This would assess for possible viral infections in the cerebrospinal fluid, including herpes simplex virus, particularly if encephalitis is suspected.</w:t>
        <w:br/>
        <w:t xml:space="preserve">  </w:t>
        <w:br/>
        <w:t>- **Electrolyte Panel**: A comprehensive metabolic panel could better shed light on his sodium levels and overall metabolic health.</w:t>
        <w:br/>
        <w:t xml:space="preserve">  </w:t>
        <w:br/>
        <w:t>- **Advanced Imaging Studies**: A contrast MRI could provide a clearer distinction of brain lesions to confirm tuberous sclerosis or detect any signs of inflammation associated with herpes.</w:t>
        <w:br/>
        <w:br/>
        <w:t>- **Behavioral Health Assessment**: Considering his strong beliefs surrounding faith healing, a psychological evaluation may be necessary to address possible coexisting psychiatric conditions.</w:t>
        <w:br/>
        <w:br/>
        <w:t>Ethical Considerations:</w:t>
        <w:br/>
        <w:br/>
        <w:t>- **Informed Consent**: Given the patient's age and mental state, determining how much autonomy he has in declining treatment is crucial. Collaboration with the parents may be necessary for informed decision-making regarding care.</w:t>
        <w:br/>
        <w:br/>
        <w:t>- **Respect for Beliefs**: Balancing medical intervention with a sensitivity to the patient’s faith healing practices poses ethical challenges, necessitating a respectful dialogue about the limitations of faith healing versus evidence-based medical care.</w:t>
        <w:br/>
        <w:br/>
        <w:t>- **Patient Autonomy**: While respecting his beliefs, it's important to guide him towards understanding the potential dangers of his refusal to acknowledge and treat his medical conditions.</w:t>
        <w:br/>
        <w:br/>
        <w:t>Overall, while the patient's symptoms are indicative of a specific medical condition, the interplay of his beliefs and the clinical presentation requires a careful, multidisciplinary approach to ensure comprehensive care."</w:t>
        <w:br/>
        <w:br/>
        <w:t>### DISEASE:</w:t>
        <w:br/>
        <w:t>Tuberous Sclerosis and Herpes Encephalitis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