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73E8"/>
          <w:sz w:val="72"/>
        </w:rPr>
        <w:t>DataGen</w:t>
      </w:r>
    </w:p>
    <w:p>
      <w:pPr>
        <w:jc w:val="center"/>
      </w:pPr>
      <w:r>
        <w:rPr>
          <w:color w:val="555555"/>
          <w:sz w:val="32"/>
        </w:rPr>
        <w:t>Road Dataset Generation &amp; Road Inventory Creation</w:t>
        <w:br/>
        <w:t>from Satellite Imagery</w:t>
      </w:r>
    </w:p>
    <w:p/>
    <w:p>
      <w:pPr>
        <w:jc w:val="center"/>
      </w:pPr>
      <w:r>
        <w:t>Preliminary Design Document  ·  CONFIDENTIAL</w:t>
        <w:br/>
      </w:r>
      <w:r>
        <w:rPr>
          <w:color w:val="888888"/>
        </w:rPr>
        <w:t>Version 0.1  ·  May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DataGen is a road dataset generation and road inventory creation tool built on top of CRESI (City-scale Road Extraction from Satellite Imagery). It addresses a fundamental limitation of data collection systems that depend on OpenStreetMap (OSM): in rural, conflict-affected, and rapidly-developing areas, OSM road coverage is sparse, outdated, or entirely absent.</w:t>
      </w:r>
    </w:p>
    <w:p>
      <w:r>
        <w:t>DataGen accepts an area of interest (AOI) polygon, fetches satellite imagery, runs a deep-learning road extraction pipeline, enriches the output with road inventory attributes (road type, width, surface condition, speed), and delivers structured GeoJSON to a connected data collection backend. Where OSM data exists it is merged and used to cross-validate; where it is absent the satellite-derived data stands alone, flagged for downstream review.</w:t>
      </w:r>
    </w:p>
    <w:p>
      <w:pPr>
        <w:pStyle w:val="Heading1"/>
      </w:pPr>
      <w:r>
        <w:t>2. Problem Statement</w:t>
      </w:r>
    </w:p>
    <w:p>
      <w:r>
        <w:t>The existing data collection tool operates on OSM datasets. This introduces three compounding problems:</w:t>
      </w:r>
    </w:p>
    <w:p>
      <w:pPr>
        <w:pStyle w:val="ListBullet"/>
      </w:pPr>
      <w:r>
        <w:rPr>
          <w:b/>
        </w:rPr>
        <w:t xml:space="preserve">Coverage gaps: </w:t>
      </w:r>
      <w:r>
        <w:t>Large geographies — particularly rural Africa, South Asia, and conflict zones — have little to no road data in OSM.</w:t>
      </w:r>
    </w:p>
    <w:p>
      <w:pPr>
        <w:pStyle w:val="ListBullet"/>
      </w:pPr>
      <w:r>
        <w:rPr>
          <w:b/>
        </w:rPr>
        <w:t xml:space="preserve">Data staleness: </w:t>
      </w:r>
      <w:r>
        <w:t>OSM edits in low-activity regions can be years out of date, missing new roads, road closures, or changed classifications.</w:t>
      </w:r>
    </w:p>
    <w:p>
      <w:pPr>
        <w:pStyle w:val="ListBullet"/>
      </w:pPr>
      <w:r>
        <w:rPr>
          <w:b/>
        </w:rPr>
        <w:t xml:space="preserve">Attribute incompleteness: </w:t>
      </w:r>
      <w:r>
        <w:t>Even where OSM roads exist, attributes like surface condition, width, and accurate speed limits are frequently missing.</w:t>
      </w:r>
    </w:p>
    <w:p>
      <w:r>
        <w:t>DataGen solves these gaps by treating satellite imagery as the ground truth and OSM as a supplementary, cross-validation source rather than the primary data input.</w:t>
      </w:r>
    </w:p>
    <w:p>
      <w:pPr>
        <w:pStyle w:val="Heading1"/>
      </w:pPr>
      <w:r>
        <w:t>3. Solution Architecture</w:t>
      </w:r>
    </w:p>
    <w:p>
      <w:r>
        <w:t>The system is composed of six layers: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Product API</w:t>
            </w:r>
          </w:p>
        </w:tc>
        <w:tc>
          <w:tcPr>
            <w:tcW w:type="dxa" w:w="2880"/>
          </w:tcPr>
          <w:p>
            <w:r>
              <w:t>FastAPI REST endpoints for AOI submission, job status polling, and GeoJSON result retrieval.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Job Queue</w:t>
            </w:r>
          </w:p>
        </w:tc>
        <w:tc>
          <w:tcPr>
            <w:tcW w:type="dxa" w:w="2880"/>
          </w:tcPr>
          <w:p>
            <w:r>
              <w:t>Celery + Redis async task queue for long-running inference jobs. Flower UI for monitoring.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Imagery Ingest</w:t>
            </w:r>
          </w:p>
        </w:tc>
        <w:tc>
          <w:tcPr>
            <w:tcW w:type="dxa" w:w="2880"/>
          </w:tcPr>
          <w:p>
            <w:r>
              <w:t>AOI → tile grid (mercantile). Pluggable tile fetcher: ESRI World Imagery (default), Bing, Planet NICFI, Maxar.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CRESI Pipeline</w:t>
            </w:r>
          </w:p>
        </w:tc>
        <w:tc>
          <w:tcPr>
            <w:tcW w:type="dxa" w:w="2880"/>
          </w:tcPr>
          <w:p>
            <w:r>
              <w:t>Existing research pipeline: inference (ResNet34 U-Net), skeletonization, graph extraction, speed inference.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Attribute Enrichment</w:t>
            </w:r>
          </w:p>
        </w:tc>
        <w:tc>
          <w:tcPr>
            <w:tcW w:type="dxa" w:w="2880"/>
          </w:tcPr>
          <w:p>
            <w:r>
              <w:t>Road type (speed-bin taxonomy), width (mask distance transform), surface condition (heuristic v1).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OSM Merge &amp; Export</w:t>
            </w:r>
          </w:p>
        </w:tc>
        <w:tc>
          <w:tcPr>
            <w:tcW w:type="dxa" w:w="2880"/>
          </w:tcPr>
          <w:p>
            <w:r>
              <w:t>Spatial diff against OSM, gap tagging, GeoJSON FeatureCollection export, backend API push.</w:t>
            </w:r>
          </w:p>
        </w:tc>
      </w:tr>
    </w:tbl>
    <w:p/>
    <w:p>
      <w:pPr>
        <w:pStyle w:val="Heading1"/>
      </w:pPr>
      <w:r>
        <w:t>4. Pipeline Detail</w:t>
      </w:r>
    </w:p>
    <w:p>
      <w:pPr>
        <w:pStyle w:val="Heading2"/>
      </w:pPr>
      <w:r>
        <w:t>4.1  AOI Ingestion</w:t>
      </w:r>
    </w:p>
    <w:p>
      <w:r>
        <w:t>The user submits a GeoJSON Feature with a Polygon geometry. The ingest layer converts this to a Web Mercator tile grid at zoom level 18 (~0.6m/px native resolution). Tiles are fetched in parallel from the configured imagery provider, assembled into a single georeferenced GeoTIFF mosaic using rasterio, and reprojected to match the CRESI model's expected input format (8-bit RGB, 0.3m GSD target).</w:t>
      </w:r>
    </w:p>
    <w:p>
      <w:pPr>
        <w:pStyle w:val="Heading2"/>
      </w:pPr>
      <w:r>
        <w:t>4.2  CRESI Inference Pipeline</w:t>
      </w:r>
    </w:p>
    <w:p>
      <w:r>
        <w:t>The assembled mosaic is sliced into overlapping 512×512 chips and fed through the trained ResNet34 U-Net segmentation model. The model outputs an 8-class probability map where each class corresponds to a speed bin. Predictions are stitched, skeletonized (04_skeletonize.py), converted to a NetworkX road graph (05_wkt_to_G.py), and annotated with travel time and speed estimates (06_infer_speed.py).</w:t>
      </w:r>
    </w:p>
    <w:p>
      <w:pPr>
        <w:pStyle w:val="Heading2"/>
      </w:pPr>
      <w:r>
        <w:t>4.3  Road Attribute Enrichment</w:t>
      </w:r>
    </w:p>
    <w:p>
      <w:pPr>
        <w:pStyle w:val="ListBullet"/>
      </w:pPr>
      <w:r>
        <w:rPr>
          <w:b/>
        </w:rPr>
        <w:t xml:space="preserve">Road type: </w:t>
      </w:r>
      <w:r>
        <w:t>Speed bin → taxonomy: highway (&gt;65 mph), primary (50–65), secondary (35–50), tertiary (25–35), track (15–25), path (&lt;15).</w:t>
      </w:r>
    </w:p>
    <w:p>
      <w:pPr>
        <w:pStyle w:val="ListBullet"/>
      </w:pPr>
      <w:r>
        <w:rPr>
          <w:b/>
        </w:rPr>
        <w:t xml:space="preserve">Road width: </w:t>
      </w:r>
      <w:r>
        <w:t>Medial axis distance transform on the segmentation mask yields pixel width. Multiplied by GSD (0.3 m/px default) gives width in metres. Defaults to road-type average when mask data is absent.</w:t>
      </w:r>
    </w:p>
    <w:p>
      <w:pPr>
        <w:pStyle w:val="ListBullet"/>
      </w:pPr>
      <w:r>
        <w:rPr>
          <w:b/>
        </w:rPr>
        <w:t xml:space="preserve">Surface condition: </w:t>
      </w:r>
      <w:r>
        <w:t>Heuristic v1: high speed + wide → paved; low speed + narrow → unpaved. A supervised ML classifier is planned for Phase 6 using labelled ground-truth samples.</w:t>
      </w:r>
    </w:p>
    <w:p>
      <w:pPr>
        <w:pStyle w:val="ListBullet"/>
      </w:pPr>
      <w:r>
        <w:rPr>
          <w:b/>
        </w:rPr>
        <w:t xml:space="preserve">Confidence score: </w:t>
      </w:r>
      <w:r>
        <w:t>Per-edge mean model output probability across the mask pixels contributing to that edge.</w:t>
      </w:r>
    </w:p>
    <w:p>
      <w:pPr>
        <w:pStyle w:val="Heading2"/>
      </w:pPr>
      <w:r>
        <w:t>4.4  OSM Merge &amp; Gap Detection</w:t>
      </w:r>
    </w:p>
    <w:p>
      <w:r>
        <w:t>After enrichment, the CRESI output is spatially compared against the OSM road network fetched via the Overpass API (osmnx) for the same AOI. A 15-metre buffer threshold determines whether a CRESI-detected edge has a corresponding OSM road:</w:t>
      </w:r>
    </w:p>
    <w:p>
      <w:pPr>
        <w:pStyle w:val="ListBullet"/>
      </w:pPr>
      <w:r>
        <w:rPr>
          <w:b/>
        </w:rPr>
        <w:t xml:space="preserve">source: "satellite": </w:t>
      </w:r>
      <w:r>
        <w:t>Edge detected by CRESI with no OSM counterpart within 15 m. Flagged osm_gap: true.</w:t>
      </w:r>
    </w:p>
    <w:p>
      <w:pPr>
        <w:pStyle w:val="ListBullet"/>
      </w:pPr>
      <w:r>
        <w:rPr>
          <w:b/>
        </w:rPr>
        <w:t xml:space="preserve">source: "merged": </w:t>
      </w:r>
      <w:r>
        <w:t>Edge present in both CRESI and OSM. CRESI attributes applied to OSM geometry.</w:t>
      </w:r>
    </w:p>
    <w:p>
      <w:pPr>
        <w:pStyle w:val="ListBullet"/>
      </w:pPr>
      <w:r>
        <w:rPr>
          <w:b/>
        </w:rPr>
        <w:t xml:space="preserve">source: "osm": </w:t>
      </w:r>
      <w:r>
        <w:t>Road present in OSM but not detected by CRESI (e.g. below imagery resolution, occluded).</w:t>
      </w:r>
    </w:p>
    <w:p>
      <w:pPr>
        <w:pStyle w:val="Heading1"/>
      </w:pPr>
      <w:r>
        <w:t>5. API Reference (Phase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POST /jobs</w:t>
            </w:r>
          </w:p>
        </w:tc>
        <w:tc>
          <w:tcPr>
            <w:tcW w:type="dxa" w:w="4320"/>
          </w:tcPr>
          <w:p>
            <w:r>
              <w:t>Submit a new job. Body: AOI GeoJSON, imagery provider, options. Returns: job_id, estimated tiles, queue status.</w:t>
            </w:r>
          </w:p>
        </w:tc>
      </w:tr>
      <w:tr>
        <w:tc>
          <w:tcPr>
            <w:tcW w:type="dxa" w:w="4320"/>
          </w:tcPr>
          <w:p>
            <w:r>
              <w:t>GET /jobs/{id}</w:t>
            </w:r>
          </w:p>
        </w:tc>
        <w:tc>
          <w:tcPr>
            <w:tcW w:type="dxa" w:w="4320"/>
          </w:tcPr>
          <w:p>
            <w:r>
              <w:t>Poll job status. Returns: status enum, progress %, current step, error (if failed).</w:t>
            </w:r>
          </w:p>
        </w:tc>
      </w:tr>
      <w:tr>
        <w:tc>
          <w:tcPr>
            <w:tcW w:type="dxa" w:w="4320"/>
          </w:tcPr>
          <w:p>
            <w:r>
              <w:t>GET /jobs/{id}/results</w:t>
            </w:r>
          </w:p>
        </w:tc>
        <w:tc>
          <w:tcPr>
            <w:tcW w:type="dxa" w:w="4320"/>
          </w:tcPr>
          <w:p>
            <w:r>
              <w:t>Retrieve completed GeoJSON FeatureCollection. Returns 409 if job not yet complete.</w:t>
            </w:r>
          </w:p>
        </w:tc>
      </w:tr>
      <w:tr>
        <w:tc>
          <w:tcPr>
            <w:tcW w:type="dxa" w:w="4320"/>
          </w:tcPr>
          <w:p>
            <w:r>
              <w:t>DELETE /jobs/{id}</w:t>
            </w:r>
          </w:p>
        </w:tc>
        <w:tc>
          <w:tcPr>
            <w:tcW w:type="dxa" w:w="4320"/>
          </w:tcPr>
          <w:p>
            <w:r>
              <w:t>Cancel a running job.</w:t>
            </w:r>
          </w:p>
        </w:tc>
      </w:tr>
      <w:tr>
        <w:tc>
          <w:tcPr>
            <w:tcW w:type="dxa" w:w="4320"/>
          </w:tcPr>
          <w:p>
            <w:r>
              <w:t>GET /health</w:t>
            </w:r>
          </w:p>
        </w:tc>
        <w:tc>
          <w:tcPr>
            <w:tcW w:type="dxa" w:w="4320"/>
          </w:tcPr>
          <w:p>
            <w:r>
              <w:t>Service health check.</w:t>
            </w:r>
          </w:p>
        </w:tc>
      </w:tr>
    </w:tbl>
    <w:p/>
    <w:p>
      <w:pPr>
        <w:pStyle w:val="Heading1"/>
      </w:pPr>
      <w:r>
        <w:t>6. Road Inventory GeoJSON Schema</w:t>
      </w:r>
    </w:p>
    <w:p>
      <w:r>
        <w:t>Each road feature in the output FeatureCollection carries the following properties: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road_type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highway / primary / secondary / tertiary / track / path / unclassified</w:t>
            </w:r>
          </w:p>
        </w:tc>
      </w:tr>
      <w:tr>
        <w:tc>
          <w:tcPr>
            <w:tcW w:type="dxa" w:w="2880"/>
          </w:tcPr>
          <w:p>
            <w:r>
              <w:t>surface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paved / unpaved</w:t>
            </w:r>
          </w:p>
        </w:tc>
      </w:tr>
      <w:tr>
        <w:tc>
          <w:tcPr>
            <w:tcW w:type="dxa" w:w="2880"/>
          </w:tcPr>
          <w:p>
            <w:r>
              <w:t>width_m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Estimated road width in metres</w:t>
            </w:r>
          </w:p>
        </w:tc>
      </w:tr>
      <w:tr>
        <w:tc>
          <w:tcPr>
            <w:tcW w:type="dxa" w:w="2880"/>
          </w:tcPr>
          <w:p>
            <w:r>
              <w:t>speed_mph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Inferred speed limit in mph</w:t>
            </w:r>
          </w:p>
        </w:tc>
      </w:tr>
      <w:tr>
        <w:tc>
          <w:tcPr>
            <w:tcW w:type="dxa" w:w="2880"/>
          </w:tcPr>
          <w:p>
            <w:r>
              <w:t>travel_time_s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Edge traversal time in seconds</w:t>
            </w:r>
          </w:p>
        </w:tc>
      </w:tr>
      <w:tr>
        <w:tc>
          <w:tcPr>
            <w:tcW w:type="dxa" w:w="2880"/>
          </w:tcPr>
          <w:p>
            <w:r>
              <w:t>length_m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Edge length in metres</w:t>
            </w:r>
          </w:p>
        </w:tc>
      </w:tr>
      <w:tr>
        <w:tc>
          <w:tcPr>
            <w:tcW w:type="dxa" w:w="2880"/>
          </w:tcPr>
          <w:p>
            <w:r>
              <w:t>confidence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Model confidence 0–1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satellite / merged / osm</w:t>
            </w:r>
          </w:p>
        </w:tc>
      </w:tr>
      <w:tr>
        <w:tc>
          <w:tcPr>
            <w:tcW w:type="dxa" w:w="2880"/>
          </w:tcPr>
          <w:p>
            <w:r>
              <w:t>osm_gap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no OSM road found within 15 m buffer</w:t>
            </w:r>
          </w:p>
        </w:tc>
      </w:tr>
      <w:tr>
        <w:tc>
          <w:tcPr>
            <w:tcW w:type="dxa" w:w="2880"/>
          </w:tcPr>
          <w:p>
            <w:r>
              <w:t>imagery_date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YYYY-MM of imagery used</w:t>
            </w:r>
          </w:p>
        </w:tc>
      </w:tr>
      <w:tr>
        <w:tc>
          <w:tcPr>
            <w:tcW w:type="dxa" w:w="2880"/>
          </w:tcPr>
          <w:p>
            <w:r>
              <w:t>model_version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Model identifier, e.g. cresi-sn5-v1</w:t>
            </w:r>
          </w:p>
        </w:tc>
      </w:tr>
    </w:tbl>
    <w:p/>
    <w:p>
      <w:pPr>
        <w:pStyle w:val="Heading1"/>
      </w:pPr>
      <w:r>
        <w:t>7. Imagery Provider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Resolution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 case</w:t>
            </w:r>
          </w:p>
        </w:tc>
      </w:tr>
      <w:tr>
        <w:tc>
          <w:tcPr>
            <w:tcW w:type="dxa" w:w="2160"/>
          </w:tcPr>
          <w:p>
            <w:r>
              <w:t>ESRI World Imagery</w:t>
            </w:r>
          </w:p>
        </w:tc>
        <w:tc>
          <w:tcPr>
            <w:tcW w:type="dxa" w:w="2160"/>
          </w:tcPr>
          <w:p>
            <w:r>
              <w:t>0.3–0.5 m urban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Phase 1–2 bootstrap and testing</w:t>
            </w:r>
          </w:p>
        </w:tc>
      </w:tr>
      <w:tr>
        <w:tc>
          <w:tcPr>
            <w:tcW w:type="dxa" w:w="2160"/>
          </w:tcPr>
          <w:p>
            <w:r>
              <w:t>Bing Maps</w:t>
            </w:r>
          </w:p>
        </w:tc>
        <w:tc>
          <w:tcPr>
            <w:tcW w:type="dxa" w:w="2160"/>
          </w:tcPr>
          <w:p>
            <w:r>
              <w:t>0.3–0.5 m</w:t>
            </w:r>
          </w:p>
        </w:tc>
        <w:tc>
          <w:tcPr>
            <w:tcW w:type="dxa" w:w="2160"/>
          </w:tcPr>
          <w:p>
            <w:r>
              <w:t>Free (research)</w:t>
            </w:r>
          </w:p>
        </w:tc>
        <w:tc>
          <w:tcPr>
            <w:tcW w:type="dxa" w:w="2160"/>
          </w:tcPr>
          <w:p>
            <w:r>
              <w:t>Fallback provider</w:t>
            </w:r>
          </w:p>
        </w:tc>
      </w:tr>
      <w:tr>
        <w:tc>
          <w:tcPr>
            <w:tcW w:type="dxa" w:w="2160"/>
          </w:tcPr>
          <w:p>
            <w:r>
              <w:t>Planet NICFI</w:t>
            </w:r>
          </w:p>
        </w:tc>
        <w:tc>
          <w:tcPr>
            <w:tcW w:type="dxa" w:w="2160"/>
          </w:tcPr>
          <w:p>
            <w:r>
              <w:t>4.77 m</w:t>
            </w:r>
          </w:p>
        </w:tc>
        <w:tc>
          <w:tcPr>
            <w:tcW w:type="dxa" w:w="2160"/>
          </w:tcPr>
          <w:p>
            <w:r>
              <w:t>Free (tropics)</w:t>
            </w:r>
          </w:p>
        </w:tc>
        <w:tc>
          <w:tcPr>
            <w:tcW w:type="dxa" w:w="2160"/>
          </w:tcPr>
          <w:p>
            <w:r>
              <w:t>Developing nation coverage, Phase 3+</w:t>
            </w:r>
          </w:p>
        </w:tc>
      </w:tr>
      <w:tr>
        <w:tc>
          <w:tcPr>
            <w:tcW w:type="dxa" w:w="2160"/>
          </w:tcPr>
          <w:p>
            <w:r>
              <w:t>Maxar SecureWatch</w:t>
            </w:r>
          </w:p>
        </w:tc>
        <w:tc>
          <w:tcPr>
            <w:tcW w:type="dxa" w:w="2160"/>
          </w:tcPr>
          <w:p>
            <w:r>
              <w:t>0.3 m</w:t>
            </w:r>
          </w:p>
        </w:tc>
        <w:tc>
          <w:tcPr>
            <w:tcW w:type="dxa" w:w="2160"/>
          </w:tcPr>
          <w:p>
            <w:r>
              <w:t>Commercial</w:t>
            </w:r>
          </w:p>
        </w:tc>
        <w:tc>
          <w:tcPr>
            <w:tcW w:type="dxa" w:w="2160"/>
          </w:tcPr>
          <w:p>
            <w:r>
              <w:t>Production high-resolution, Phase 3+</w:t>
            </w:r>
          </w:p>
        </w:tc>
      </w:tr>
    </w:tbl>
    <w:p/>
    <w:p>
      <w:pPr>
        <w:pStyle w:val="Heading1"/>
      </w:pPr>
      <w:r>
        <w:t>8.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API framework</w:t>
            </w:r>
          </w:p>
        </w:tc>
        <w:tc>
          <w:tcPr>
            <w:tcW w:type="dxa" w:w="4320"/>
          </w:tcPr>
          <w:p>
            <w:r>
              <w:t>FastAPI + Uvicorn</w:t>
            </w:r>
          </w:p>
        </w:tc>
      </w:tr>
      <w:tr>
        <w:tc>
          <w:tcPr>
            <w:tcW w:type="dxa" w:w="4320"/>
          </w:tcPr>
          <w:p>
            <w:r>
              <w:t>Task queue</w:t>
            </w:r>
          </w:p>
        </w:tc>
        <w:tc>
          <w:tcPr>
            <w:tcW w:type="dxa" w:w="4320"/>
          </w:tcPr>
          <w:p>
            <w:r>
              <w:t>Celery 5 + Redis 7</w:t>
            </w:r>
          </w:p>
        </w:tc>
      </w:tr>
      <w:tr>
        <w:tc>
          <w:tcPr>
            <w:tcW w:type="dxa" w:w="4320"/>
          </w:tcPr>
          <w:p>
            <w:r>
              <w:t>Queue monitor</w:t>
            </w:r>
          </w:p>
        </w:tc>
        <w:tc>
          <w:tcPr>
            <w:tcW w:type="dxa" w:w="4320"/>
          </w:tcPr>
          <w:p>
            <w:r>
              <w:t>Flower</w:t>
            </w:r>
          </w:p>
        </w:tc>
      </w:tr>
      <w:tr>
        <w:tc>
          <w:tcPr>
            <w:tcW w:type="dxa" w:w="4320"/>
          </w:tcPr>
          <w:p>
            <w:r>
              <w:t>Deep learning</w:t>
            </w:r>
          </w:p>
        </w:tc>
        <w:tc>
          <w:tcPr>
            <w:tcW w:type="dxa" w:w="4320"/>
          </w:tcPr>
          <w:p>
            <w:r>
              <w:t>PyTorch (existing CRESI model: ResNet34 U-Net)</w:t>
            </w:r>
          </w:p>
        </w:tc>
      </w:tr>
      <w:tr>
        <w:tc>
          <w:tcPr>
            <w:tcW w:type="dxa" w:w="4320"/>
          </w:tcPr>
          <w:p>
            <w:r>
              <w:t>Graph processing</w:t>
            </w:r>
          </w:p>
        </w:tc>
        <w:tc>
          <w:tcPr>
            <w:tcW w:type="dxa" w:w="4320"/>
          </w:tcPr>
          <w:p>
            <w:r>
              <w:t>NetworkX</w:t>
            </w:r>
          </w:p>
        </w:tc>
      </w:tr>
      <w:tr>
        <w:tc>
          <w:tcPr>
            <w:tcW w:type="dxa" w:w="4320"/>
          </w:tcPr>
          <w:p>
            <w:r>
              <w:t>Spatial operations</w:t>
            </w:r>
          </w:p>
        </w:tc>
        <w:tc>
          <w:tcPr>
            <w:tcW w:type="dxa" w:w="4320"/>
          </w:tcPr>
          <w:p>
            <w:r>
              <w:t>Shapely, rasterio, GDAL</w:t>
            </w:r>
          </w:p>
        </w:tc>
      </w:tr>
      <w:tr>
        <w:tc>
          <w:tcPr>
            <w:tcW w:type="dxa" w:w="4320"/>
          </w:tcPr>
          <w:p>
            <w:r>
              <w:t>OSM integration</w:t>
            </w:r>
          </w:p>
        </w:tc>
        <w:tc>
          <w:tcPr>
            <w:tcW w:type="dxa" w:w="4320"/>
          </w:tcPr>
          <w:p>
            <w:r>
              <w:t>osmnx + Overpass API</w:t>
            </w:r>
          </w:p>
        </w:tc>
      </w:tr>
      <w:tr>
        <w:tc>
          <w:tcPr>
            <w:tcW w:type="dxa" w:w="4320"/>
          </w:tcPr>
          <w:p>
            <w:r>
              <w:t>Tile math</w:t>
            </w:r>
          </w:p>
        </w:tc>
        <w:tc>
          <w:tcPr>
            <w:tcW w:type="dxa" w:w="4320"/>
          </w:tcPr>
          <w:p>
            <w:r>
              <w:t>mercantile</w:t>
            </w:r>
          </w:p>
        </w:tc>
      </w:tr>
      <w:tr>
        <w:tc>
          <w:tcPr>
            <w:tcW w:type="dxa" w:w="4320"/>
          </w:tcPr>
          <w:p>
            <w:r>
              <w:t>Data validation</w:t>
            </w:r>
          </w:p>
        </w:tc>
        <w:tc>
          <w:tcPr>
            <w:tcW w:type="dxa" w:w="4320"/>
          </w:tcPr>
          <w:p>
            <w:r>
              <w:t>Pydantic v2</w:t>
            </w:r>
          </w:p>
        </w:tc>
      </w:tr>
      <w:tr>
        <w:tc>
          <w:tcPr>
            <w:tcW w:type="dxa" w:w="4320"/>
          </w:tcPr>
          <w:p>
            <w:r>
              <w:t>Containerisation</w:t>
            </w:r>
          </w:p>
        </w:tc>
        <w:tc>
          <w:tcPr>
            <w:tcW w:type="dxa" w:w="4320"/>
          </w:tcPr>
          <w:p>
            <w:r>
              <w:t>Docker + Docker Compose</w:t>
            </w:r>
          </w:p>
        </w:tc>
      </w:tr>
      <w:tr>
        <w:tc>
          <w:tcPr>
            <w:tcW w:type="dxa" w:w="4320"/>
          </w:tcPr>
          <w:p>
            <w:r>
              <w:t>Geo output format</w:t>
            </w:r>
          </w:p>
        </w:tc>
        <w:tc>
          <w:tcPr>
            <w:tcW w:type="dxa" w:w="4320"/>
          </w:tcPr>
          <w:p>
            <w:r>
              <w:t>GeoJSON (RFC 7946)</w:t>
            </w:r>
          </w:p>
        </w:tc>
      </w:tr>
    </w:tbl>
    <w:p/>
    <w:p>
      <w:pPr>
        <w:pStyle w:val="Heading1"/>
      </w:pPr>
      <w:r>
        <w:t>9. Phased Roadmap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deliverables</w:t>
            </w:r>
          </w:p>
        </w:tc>
      </w:tr>
      <w:tr>
        <w:tc>
          <w:tcPr>
            <w:tcW w:type="dxa" w:w="2880"/>
          </w:tcPr>
          <w:p>
            <w:r>
              <w:t>Phase 1 — Foundation</w:t>
            </w:r>
          </w:p>
        </w:tc>
        <w:tc>
          <w:tcPr>
            <w:tcW w:type="dxa" w:w="2880"/>
          </w:tcPr>
          <w:p>
            <w:r>
              <w:t>Weeks 1–3</w:t>
            </w:r>
          </w:p>
        </w:tc>
        <w:tc>
          <w:tcPr>
            <w:tcW w:type="dxa" w:w="2880"/>
          </w:tcPr>
          <w:p>
            <w:r>
              <w:t>FastAPI + Celery, AOI tile ingestion, GeoJSON export, Docker Compose</w:t>
            </w:r>
          </w:p>
        </w:tc>
      </w:tr>
      <w:tr>
        <w:tc>
          <w:tcPr>
            <w:tcW w:type="dxa" w:w="2880"/>
          </w:tcPr>
          <w:p>
            <w:r>
              <w:t>Phase 2 — Enrichment</w:t>
            </w:r>
          </w:p>
        </w:tc>
        <w:tc>
          <w:tcPr>
            <w:tcW w:type="dxa" w:w="2880"/>
          </w:tcPr>
          <w:p>
            <w:r>
              <w:t>Weeks 4–5</w:t>
            </w:r>
          </w:p>
        </w:tc>
        <w:tc>
          <w:tcPr>
            <w:tcW w:type="dxa" w:w="2880"/>
          </w:tcPr>
          <w:p>
            <w:r>
              <w:t>Road type, width, surface condition attributes</w:t>
            </w:r>
          </w:p>
        </w:tc>
      </w:tr>
      <w:tr>
        <w:tc>
          <w:tcPr>
            <w:tcW w:type="dxa" w:w="2880"/>
          </w:tcPr>
          <w:p>
            <w:r>
              <w:t>Phase 3 — OSM Integration</w:t>
            </w:r>
          </w:p>
        </w:tc>
        <w:tc>
          <w:tcPr>
            <w:tcW w:type="dxa" w:w="2880"/>
          </w:tcPr>
          <w:p>
            <w:r>
              <w:t>Weeks 5–6</w:t>
            </w:r>
          </w:p>
        </w:tc>
        <w:tc>
          <w:tcPr>
            <w:tcW w:type="dxa" w:w="2880"/>
          </w:tcPr>
          <w:p>
            <w:r>
              <w:t>OSM diff, gap detection, merged output</w:t>
            </w:r>
          </w:p>
        </w:tc>
      </w:tr>
      <w:tr>
        <w:tc>
          <w:tcPr>
            <w:tcW w:type="dxa" w:w="2880"/>
          </w:tcPr>
          <w:p>
            <w:r>
              <w:t>Phase 4 — Backend Integration</w:t>
            </w:r>
          </w:p>
        </w:tc>
        <w:tc>
          <w:tcPr>
            <w:tcW w:type="dxa" w:w="2880"/>
          </w:tcPr>
          <w:p>
            <w:r>
              <w:t>Week 7</w:t>
            </w:r>
          </w:p>
        </w:tc>
        <w:tc>
          <w:tcPr>
            <w:tcW w:type="dxa" w:w="2880"/>
          </w:tcPr>
          <w:p>
            <w:r>
              <w:t>Push connector to existing data collection API</w:t>
            </w:r>
          </w:p>
        </w:tc>
      </w:tr>
      <w:tr>
        <w:tc>
          <w:tcPr>
            <w:tcW w:type="dxa" w:w="2880"/>
          </w:tcPr>
          <w:p>
            <w:r>
              <w:t>Phase 5 — Production Hardening</w:t>
            </w:r>
          </w:p>
        </w:tc>
        <w:tc>
          <w:tcPr>
            <w:tcW w:type="dxa" w:w="2880"/>
          </w:tcPr>
          <w:p>
            <w:r>
              <w:t>Weeks 8–10</w:t>
            </w:r>
          </w:p>
        </w:tc>
        <w:tc>
          <w:tcPr>
            <w:tcW w:type="dxa" w:w="2880"/>
          </w:tcPr>
          <w:p>
            <w:r>
              <w:t>Monitoring, retry logic, AOI size limits, caching</w:t>
            </w:r>
          </w:p>
        </w:tc>
      </w:tr>
      <w:tr>
        <w:tc>
          <w:tcPr>
            <w:tcW w:type="dxa" w:w="2880"/>
          </w:tcPr>
          <w:p>
            <w:r>
              <w:t>Phase 6 — Model Improvement</w:t>
            </w:r>
          </w:p>
        </w:tc>
        <w:tc>
          <w:tcPr>
            <w:tcW w:type="dxa" w:w="2880"/>
          </w:tcPr>
          <w:p>
            <w:r>
              <w:t>Months 3–4</w:t>
            </w:r>
          </w:p>
        </w:tc>
        <w:tc>
          <w:tcPr>
            <w:tcW w:type="dxa" w:w="2880"/>
          </w:tcPr>
          <w:p>
            <w:r>
              <w:t>Retrain on Planet NICFI, surface classifier, Sentinel-2 fallback</w:t>
            </w:r>
          </w:p>
        </w:tc>
      </w:tr>
    </w:tbl>
    <w:p/>
    <w:p>
      <w:pPr>
        <w:pStyle w:val="Heading1"/>
      </w:pPr>
      <w:r>
        <w:t>10. Known Risks &amp;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Imagery TOS</w:t>
            </w:r>
          </w:p>
        </w:tc>
        <w:tc>
          <w:tcPr>
            <w:tcW w:type="dxa" w:w="2880"/>
          </w:tcPr>
          <w:p>
            <w:r>
              <w:t>ESRI/Bing tiles carry usage restrictions for commercial products.</w:t>
            </w:r>
          </w:p>
        </w:tc>
        <w:tc>
          <w:tcPr>
            <w:tcW w:type="dxa" w:w="2880"/>
          </w:tcPr>
          <w:p>
            <w:r>
              <w:t>Evaluate Planet NICFI and Maxar for production; keep provider layer pluggable.</w:t>
            </w:r>
          </w:p>
        </w:tc>
      </w:tr>
      <w:tr>
        <w:tc>
          <w:tcPr>
            <w:tcW w:type="dxa" w:w="2880"/>
          </w:tcPr>
          <w:p>
            <w:r>
              <w:t>Model resolution mismatch</w:t>
            </w:r>
          </w:p>
        </w:tc>
        <w:tc>
          <w:tcPr>
            <w:tcW w:type="dxa" w:w="2880"/>
          </w:tcPr>
          <w:p>
            <w:r>
              <w:t>CRESI trained at 0.3 m GSD; lower-res imagery degrades detection accuracy.</w:t>
            </w:r>
          </w:p>
        </w:tc>
        <w:tc>
          <w:tcPr>
            <w:tcW w:type="dxa" w:w="2880"/>
          </w:tcPr>
          <w:p>
            <w:r>
              <w:t>Validate with ESRI tiles first; plan Sentinel-2 fallback model for Phase 6.</w:t>
            </w:r>
          </w:p>
        </w:tc>
      </w:tr>
      <w:tr>
        <w:tc>
          <w:tcPr>
            <w:tcW w:type="dxa" w:w="2880"/>
          </w:tcPr>
          <w:p>
            <w:r>
              <w:t>Surface condition accuracy</w:t>
            </w:r>
          </w:p>
        </w:tc>
        <w:tc>
          <w:tcPr>
            <w:tcW w:type="dxa" w:w="2880"/>
          </w:tcPr>
          <w:p>
            <w:r>
              <w:t>Heuristic v1 will misclassify edge cases (e.g. paved rural tracks).</w:t>
            </w:r>
          </w:p>
        </w:tc>
        <w:tc>
          <w:tcPr>
            <w:tcW w:type="dxa" w:w="2880"/>
          </w:tcPr>
          <w:p>
            <w:r>
              <w:t>Log and flag low-confidence edges; add ML classifier in Phase 6 with ground-truth labels.</w:t>
            </w:r>
          </w:p>
        </w:tc>
      </w:tr>
      <w:tr>
        <w:tc>
          <w:tcPr>
            <w:tcW w:type="dxa" w:w="2880"/>
          </w:tcPr>
          <w:p>
            <w:r>
              <w:t>Large AOI performance</w:t>
            </w:r>
          </w:p>
        </w:tc>
        <w:tc>
          <w:tcPr>
            <w:tcW w:type="dxa" w:w="2880"/>
          </w:tcPr>
          <w:p>
            <w:r>
              <w:t>City-scale AOIs can produce thousands of tiles and hours of inference.</w:t>
            </w:r>
          </w:p>
        </w:tc>
        <w:tc>
          <w:tcPr>
            <w:tcW w:type="dxa" w:w="2880"/>
          </w:tcPr>
          <w:p>
            <w:r>
              <w:t>Auto-split large AOIs; add tile-level result caching; expose progress streaming.</w:t>
            </w:r>
          </w:p>
        </w:tc>
      </w:tr>
      <w:tr>
        <w:tc>
          <w:tcPr>
            <w:tcW w:type="dxa" w:w="2880"/>
          </w:tcPr>
          <w:p>
            <w:r>
              <w:t>OSM licence</w:t>
            </w:r>
          </w:p>
        </w:tc>
        <w:tc>
          <w:tcPr>
            <w:tcW w:type="dxa" w:w="2880"/>
          </w:tcPr>
          <w:p>
            <w:r>
              <w:t>ODbL licence on OSM data may require share-alike on derived products.</w:t>
            </w:r>
          </w:p>
        </w:tc>
        <w:tc>
          <w:tcPr>
            <w:tcW w:type="dxa" w:w="2880"/>
          </w:tcPr>
          <w:p>
            <w:r>
              <w:t>Legal review required before shipping merged OSM+satellite output to commercial clients.</w:t>
            </w:r>
          </w:p>
        </w:tc>
      </w:tr>
    </w:tbl>
    <w:p/>
    <w:p>
      <w:pPr>
        <w:pStyle w:val="Heading1"/>
      </w:pPr>
      <w:r>
        <w:t>11. Next Immediate Steps</w:t>
      </w:r>
    </w:p>
    <w:p>
      <w:pPr>
        <w:pStyle w:val="ListNumber"/>
      </w:pPr>
      <w:r>
        <w:t>Fix JSON syntax error in cresi/configs/sn5_baseline.json (colon inside key name on line 6).</w:t>
      </w:r>
    </w:p>
    <w:p>
      <w:pPr>
        <w:pStyle w:val="ListNumber"/>
      </w:pPr>
      <w:r>
        <w:t>Wire CRESI pipeline steps 02–06 into the Celery task (_run_cresi placeholder in tasks.py).</w:t>
      </w:r>
    </w:p>
    <w:p>
      <w:pPr>
        <w:pStyle w:val="ListNumber"/>
      </w:pPr>
      <w:r>
        <w:t>Validate ESRI tile fetch → mosaic → CRESI inference on a small test AOI (≤1 km²).</w:t>
      </w:r>
    </w:p>
    <w:p>
      <w:pPr>
        <w:pStyle w:val="ListNumber"/>
      </w:pPr>
      <w:r>
        <w:t>Confirm backend API schema with the data collection team and implement schema transform in cresi/backend/connector.py.</w:t>
      </w:r>
    </w:p>
    <w:p>
      <w:pPr>
        <w:pStyle w:val="ListNumber"/>
      </w:pPr>
      <w:r>
        <w:t>Conduct legal review of ESRI tile TOS and OSM ODbL share-alike implications.</w:t>
      </w:r>
    </w:p>
    <w:p>
      <w:pPr>
        <w:pStyle w:val="ListNumber"/>
      </w:pPr>
      <w:r>
        <w:t>Set repository to private on GitHub (see Section 12).</w:t>
      </w:r>
    </w:p>
    <w:p>
      <w:pPr>
        <w:pStyle w:val="Heading1"/>
      </w:pPr>
      <w:r>
        <w:t>12. Repository Privacy</w:t>
      </w:r>
    </w:p>
    <w:p>
      <w:r>
        <w:t>The repository (lazieinstein/datagen) is currently a public fork. To restrict visibility:</w:t>
      </w:r>
    </w:p>
    <w:p>
      <w:pPr>
        <w:pStyle w:val="ListNumber"/>
      </w:pPr>
      <w:r>
        <w:t>Navigate to https://github.com/lazieinstein/datagen/settings</w:t>
      </w:r>
    </w:p>
    <w:p>
      <w:pPr>
        <w:pStyle w:val="ListNumber"/>
      </w:pPr>
      <w:r>
        <w:t>Scroll to the "Danger Zone" section at the bottom of the General settings page.</w:t>
      </w:r>
    </w:p>
    <w:p>
      <w:pPr>
        <w:pStyle w:val="ListNumber"/>
      </w:pPr>
      <w:r>
        <w:t>Click "Change repository visibility" → select "Make private" → confirm.</w:t>
      </w:r>
    </w:p>
    <w:p>
      <w:pPr>
        <w:pStyle w:val="ListNumber"/>
      </w:pPr>
      <w:r>
        <w:t>This action is only available to repository owners and organisation admins.</w:t>
      </w:r>
    </w:p>
    <w:p>
      <w:pPr>
        <w:pStyle w:val="ListNumber"/>
      </w:pPr>
      <w:r>
        <w:t>Note: forking history is retained internally; GitHub does not notify the upstream repository of the visibility change.</w:t>
      </w:r>
    </w:p>
    <w:p/>
    <w:p>
      <w:pPr>
        <w:jc w:val="center"/>
      </w:pPr>
      <w:r>
        <w:rPr>
          <w:color w:val="AAAAAA"/>
        </w:rPr>
        <w:t>DataGen Preliminary Design Document  ·  CONFIDENTIAL  ·  May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