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center"/>
      </w:pPr>
      <w:r>
        <w:rPr>
          <w:rFonts w:ascii="Times New Roman" w:hAnsi="Times New Roman"/>
          <w:b/>
          <w:i w:val="0"/>
          <w:color w:val="1F2937"/>
          <w:sz w:val="22"/>
        </w:rPr>
        <w:t>TRƯỜNG ĐẠI HỌC CÔNG NGHỆ – ĐẠI HỌC QUỐC GIA HÀ NỘI</w:t>
      </w:r>
    </w:p>
    <w:p>
      <w:pPr>
        <w:spacing w:after="240" w:line="276" w:lineRule="auto"/>
        <w:jc w:val="center"/>
      </w:pPr>
      <w:r>
        <w:rPr>
          <w:rFonts w:ascii="Times New Roman" w:hAnsi="Times New Roman"/>
          <w:b/>
          <w:i w:val="0"/>
          <w:color w:val="1F2937"/>
          <w:sz w:val="20"/>
        </w:rPr>
        <w:t>HỌC PHẦN: NHẬP MÔN CÔNG NGHỆ SỐ VÀ ỨNG DỤNG TRÍ TUỆ NHÂN TẠO</w:t>
      </w:r>
    </w:p>
    <w:p>
      <w:pPr>
        <w:spacing w:after="60" w:line="276" w:lineRule="auto"/>
        <w:jc w:val="center"/>
      </w:pPr>
      <w:r>
        <w:rPr>
          <w:rFonts w:ascii="Times New Roman" w:hAnsi="Times New Roman"/>
          <w:b/>
          <w:i w:val="0"/>
          <w:color w:val="1F4E79"/>
          <w:sz w:val="34"/>
        </w:rPr>
        <w:t>BÁO CÁO BÀI 2</w:t>
      </w:r>
    </w:p>
    <w:p>
      <w:pPr>
        <w:spacing w:after="160" w:line="276" w:lineRule="auto"/>
        <w:jc w:val="center"/>
      </w:pPr>
      <w:r>
        <w:rPr>
          <w:rFonts w:ascii="Times New Roman" w:hAnsi="Times New Roman"/>
          <w:b/>
          <w:i w:val="0"/>
          <w:color w:val="1F2937"/>
          <w:sz w:val="30"/>
        </w:rPr>
        <w:t>TÌM KIẾM VÀ ĐÁNH GIÁ THÔNG TIN HỌC THUẬT</w:t>
        <w:br/>
        <w:t>TỪ CÁC NGUỒN ĐÁNG TIN CẬY</w:t>
      </w:r>
    </w:p>
    <w:p>
      <w:pPr>
        <w:spacing w:after="240" w:line="276" w:lineRule="auto"/>
        <w:jc w:val="center"/>
      </w:pPr>
      <w:r>
        <w:rPr>
          <w:rFonts w:ascii="Times New Roman" w:hAnsi="Times New Roman"/>
          <w:b/>
          <w:i/>
          <w:color w:val="1F2937"/>
          <w:sz w:val="23"/>
        </w:rPr>
        <w:t>Chủ đề: Tác động của AI tạo sinh đến năng suất lao động trong nhóm ngành dịch vụ</w:t>
      </w:r>
    </w:p>
    <w:tbl>
      <w:tblPr>
        <w:tblStyle w:val="TableGrid"/>
        <w:tblW w:type="auto" w:w="0"/>
        <w:jc w:val="center"/>
        <w:tblLook w:firstColumn="1" w:firstRow="1" w:lastColumn="0" w:lastRow="0" w:noHBand="0" w:noVBand="1" w:val="04A0"/>
      </w:tblPr>
      <w:tblGrid>
        <w:gridCol w:w="4876"/>
        <w:gridCol w:w="4876"/>
      </w:tblGrid>
      <w:tr>
        <w:tc>
          <w:tcPr>
            <w:tcW w:type="dxa" w:w="2381"/>
            <w:vAlign w:val="top"/>
            <w:shd w:fill="D9EAF7"/>
            <w:tcMar>
              <w:top w:w="70" w:type="dxa"/>
              <w:start w:w="70" w:type="dxa"/>
              <w:bottom w:w="70" w:type="dxa"/>
              <w:end w:w="70" w:type="dxa"/>
            </w:tcMar>
          </w:tcPr>
          <w:p>
            <w:pPr>
              <w:spacing w:after="0"/>
              <w:jc w:val="left"/>
            </w:pPr>
            <w:r/>
            <w:r>
              <w:rPr>
                <w:rFonts w:ascii="Times New Roman" w:hAnsi="Times New Roman"/>
                <w:b/>
                <w:color w:val="1F2937"/>
                <w:sz w:val="20"/>
              </w:rPr>
              <w:t>Họ và tên</w:t>
            </w:r>
          </w:p>
        </w:tc>
        <w:tc>
          <w:tcPr>
            <w:tcW w:type="dxa" w:w="7087"/>
            <w:vAlign w:val="top"/>
            <w:tcMar>
              <w:top w:w="70" w:type="dxa"/>
              <w:start w:w="70" w:type="dxa"/>
              <w:bottom w:w="70" w:type="dxa"/>
              <w:end w:w="70" w:type="dxa"/>
            </w:tcMar>
          </w:tcPr>
          <w:p>
            <w:pPr>
              <w:spacing w:after="0"/>
              <w:jc w:val="left"/>
            </w:pPr>
            <w:r/>
            <w:r>
              <w:rPr>
                <w:rFonts w:ascii="Times New Roman" w:hAnsi="Times New Roman"/>
                <w:b w:val="0"/>
                <w:color w:val="1F2937"/>
                <w:sz w:val="20"/>
              </w:rPr>
              <w:t>Nguyễn Ngọc Hiếu</w:t>
            </w:r>
          </w:p>
        </w:tc>
      </w:tr>
      <w:tr>
        <w:tc>
          <w:tcPr>
            <w:tcW w:type="dxa" w:w="2381"/>
            <w:vAlign w:val="top"/>
            <w:shd w:fill="D9EAF7"/>
            <w:tcMar>
              <w:top w:w="70" w:type="dxa"/>
              <w:start w:w="70" w:type="dxa"/>
              <w:bottom w:w="70" w:type="dxa"/>
              <w:end w:w="70" w:type="dxa"/>
            </w:tcMar>
          </w:tcPr>
          <w:p>
            <w:pPr>
              <w:spacing w:after="0"/>
              <w:jc w:val="left"/>
            </w:pPr>
            <w:r/>
            <w:r>
              <w:rPr>
                <w:rFonts w:ascii="Times New Roman" w:hAnsi="Times New Roman"/>
                <w:b/>
                <w:color w:val="1F2937"/>
                <w:sz w:val="20"/>
              </w:rPr>
              <w:t>Mã sinh viên</w:t>
            </w:r>
          </w:p>
        </w:tc>
        <w:tc>
          <w:tcPr>
            <w:tcW w:type="dxa" w:w="7087"/>
            <w:vAlign w:val="top"/>
            <w:tcMar>
              <w:top w:w="70" w:type="dxa"/>
              <w:start w:w="70" w:type="dxa"/>
              <w:bottom w:w="70" w:type="dxa"/>
              <w:end w:w="70" w:type="dxa"/>
            </w:tcMar>
          </w:tcPr>
          <w:p>
            <w:pPr>
              <w:spacing w:after="0"/>
              <w:jc w:val="left"/>
            </w:pPr>
            <w:r/>
            <w:r>
              <w:rPr>
                <w:rFonts w:ascii="Times New Roman" w:hAnsi="Times New Roman"/>
                <w:b w:val="0"/>
                <w:color w:val="1F2937"/>
                <w:sz w:val="20"/>
              </w:rPr>
              <w:t>25021764</w:t>
            </w:r>
          </w:p>
        </w:tc>
      </w:tr>
      <w:tr>
        <w:tc>
          <w:tcPr>
            <w:tcW w:type="dxa" w:w="2381"/>
            <w:vAlign w:val="top"/>
            <w:shd w:fill="D9EAF7"/>
            <w:tcMar>
              <w:top w:w="70" w:type="dxa"/>
              <w:start w:w="70" w:type="dxa"/>
              <w:bottom w:w="70" w:type="dxa"/>
              <w:end w:w="70" w:type="dxa"/>
            </w:tcMar>
          </w:tcPr>
          <w:p>
            <w:pPr>
              <w:spacing w:after="0"/>
              <w:jc w:val="left"/>
            </w:pPr>
            <w:r/>
            <w:r>
              <w:rPr>
                <w:rFonts w:ascii="Times New Roman" w:hAnsi="Times New Roman"/>
                <w:b/>
                <w:color w:val="1F2937"/>
                <w:sz w:val="20"/>
              </w:rPr>
              <w:t>Lớp / Mã học phần</w:t>
            </w:r>
          </w:p>
        </w:tc>
        <w:tc>
          <w:tcPr>
            <w:tcW w:type="dxa" w:w="7087"/>
            <w:vAlign w:val="top"/>
            <w:tcMar>
              <w:top w:w="70" w:type="dxa"/>
              <w:start w:w="70" w:type="dxa"/>
              <w:bottom w:w="70" w:type="dxa"/>
              <w:end w:w="70" w:type="dxa"/>
            </w:tcMar>
          </w:tcPr>
          <w:p>
            <w:pPr>
              <w:spacing w:after="0"/>
              <w:jc w:val="left"/>
            </w:pPr>
            <w:r/>
            <w:r>
              <w:rPr>
                <w:rFonts w:ascii="Times New Roman" w:hAnsi="Times New Roman"/>
                <w:b w:val="0"/>
                <w:color w:val="1F2937"/>
                <w:sz w:val="20"/>
              </w:rPr>
              <w:t>K70I-CS4 / VNU1001_E252012 – UET.A12</w:t>
            </w:r>
          </w:p>
        </w:tc>
      </w:tr>
      <w:tr>
        <w:tc>
          <w:tcPr>
            <w:tcW w:type="dxa" w:w="2381"/>
            <w:vAlign w:val="top"/>
            <w:shd w:fill="D9EAF7"/>
            <w:tcMar>
              <w:top w:w="70" w:type="dxa"/>
              <w:start w:w="70" w:type="dxa"/>
              <w:bottom w:w="70" w:type="dxa"/>
              <w:end w:w="70" w:type="dxa"/>
            </w:tcMar>
          </w:tcPr>
          <w:p>
            <w:pPr>
              <w:spacing w:after="0"/>
              <w:jc w:val="left"/>
            </w:pPr>
            <w:r/>
            <w:r>
              <w:rPr>
                <w:rFonts w:ascii="Times New Roman" w:hAnsi="Times New Roman"/>
                <w:b/>
                <w:color w:val="1F2937"/>
                <w:sz w:val="20"/>
              </w:rPr>
              <w:t>Email</w:t>
            </w:r>
          </w:p>
        </w:tc>
        <w:tc>
          <w:tcPr>
            <w:tcW w:type="dxa" w:w="7087"/>
            <w:vAlign w:val="top"/>
            <w:tcMar>
              <w:top w:w="70" w:type="dxa"/>
              <w:start w:w="70" w:type="dxa"/>
              <w:bottom w:w="70" w:type="dxa"/>
              <w:end w:w="70" w:type="dxa"/>
            </w:tcMar>
          </w:tcPr>
          <w:p>
            <w:pPr>
              <w:spacing w:after="0"/>
              <w:jc w:val="left"/>
            </w:pPr>
            <w:r/>
            <w:r>
              <w:rPr>
                <w:rFonts w:ascii="Times New Roman" w:hAnsi="Times New Roman"/>
                <w:b w:val="0"/>
                <w:color w:val="1F2937"/>
                <w:sz w:val="20"/>
              </w:rPr>
              <w:t>25021764@gmail.com</w:t>
            </w:r>
          </w:p>
        </w:tc>
      </w:tr>
    </w:tbl>
    <w:p>
      <w:pPr>
        <w:spacing w:before="200" w:after="100"/>
      </w:pPr>
      <w:r>
        <w:rPr>
          <w:rFonts w:ascii="Arial" w:hAnsi="Arial"/>
          <w:b/>
          <w:color w:val="1F4E79"/>
          <w:sz w:val="30"/>
        </w:rPr>
        <w:t>I. MỤC TIÊU VÀ PHẠM VI TÌM KIẾM</w:t>
      </w:r>
    </w:p>
    <w:p>
      <w:pPr>
        <w:spacing w:after="120" w:line="276" w:lineRule="auto"/>
        <w:jc w:val="both"/>
      </w:pPr>
      <w:r>
        <w:rPr>
          <w:rFonts w:ascii="Times New Roman" w:hAnsi="Times New Roman"/>
          <w:b w:val="0"/>
          <w:i w:val="0"/>
          <w:color w:val="1F2937"/>
          <w:sz w:val="22"/>
        </w:rPr>
        <w:t>Báo cáo tập trung trả lời câu hỏi: AI tạo sinh ảnh hưởng như thế nào đến năng suất lao động, chất lượng công việc và nhu cầu kỹ năng trong các hoạt động dịch vụ dựa trên tri thức? Phạm vi được giới hạn ở các công việc viết chuyên môn, chăm sóc khách hàng, tư vấn quản lý, lập trình, marketing, bán hàng và lao động freelance.</w:t>
      </w:r>
    </w:p>
    <w:p>
      <w:pPr>
        <w:spacing w:after="120" w:line="276" w:lineRule="auto"/>
        <w:jc w:val="both"/>
      </w:pPr>
      <w:r>
        <w:rPr>
          <w:rFonts w:ascii="Times New Roman" w:hAnsi="Times New Roman"/>
          <w:b w:val="0"/>
          <w:i w:val="0"/>
          <w:color w:val="1F2937"/>
          <w:sz w:val="22"/>
        </w:rPr>
        <w:t>Mục tiêu là thu thập tối thiểu 10 tài liệu thuộc nhiều loại nguồn, đánh giá có hệ thống độ tin cậy của từng tài liệu và tổng hợp các kết luận có thể ứng dụng trong học tập và định hướng nghề nghiệp.</w:t>
      </w:r>
    </w:p>
    <w:p>
      <w:pPr>
        <w:spacing w:before="200" w:after="100"/>
      </w:pPr>
      <w:r>
        <w:rPr>
          <w:rFonts w:ascii="Arial" w:hAnsi="Arial"/>
          <w:b/>
          <w:color w:val="1F4E79"/>
          <w:sz w:val="30"/>
        </w:rPr>
        <w:t>II. PHƯƠNG PHÁP TÌM KIẾM VÀ ĐÁNH GIÁ</w:t>
      </w:r>
    </w:p>
    <w:p>
      <w:pPr>
        <w:pStyle w:val="ListBullet"/>
        <w:spacing w:after="60" w:line="264" w:lineRule="auto"/>
      </w:pPr>
      <w:r>
        <w:rPr>
          <w:rFonts w:ascii="Times New Roman" w:hAnsi="Times New Roman"/>
          <w:sz w:val="21"/>
        </w:rPr>
        <w:t>Nguồn tìm kiếm: Google Scholar, Crossref, website tạp chí học thuật, Harvard Business School, arXiv, MIT Press và OECD.</w:t>
      </w:r>
    </w:p>
    <w:p>
      <w:pPr>
        <w:pStyle w:val="ListBullet"/>
        <w:spacing w:after="60" w:line="264" w:lineRule="auto"/>
      </w:pPr>
      <w:r>
        <w:rPr>
          <w:rFonts w:ascii="Times New Roman" w:hAnsi="Times New Roman"/>
          <w:sz w:val="21"/>
        </w:rPr>
        <w:t>Từ khóa chính: “generative AI productivity”, “GenAI service industry”, “AI customer support productivity”, “GitHub Copilot productivity”, “AI knowledge workers” và “generative AI labour market”.</w:t>
      </w:r>
    </w:p>
    <w:p>
      <w:pPr>
        <w:pStyle w:val="ListBullet"/>
        <w:spacing w:after="60" w:line="264" w:lineRule="auto"/>
      </w:pPr>
      <w:r>
        <w:rPr>
          <w:rFonts w:ascii="Times New Roman" w:hAnsi="Times New Roman"/>
          <w:sz w:val="21"/>
        </w:rPr>
        <w:t>Tiêu chí lựa chọn: liên quan trực tiếp đến chủ đề; công bố từ năm 2022 đến 2025; có phương pháp và kết quả rõ ràng; ưu tiên nghiên cứu thực nghiệm, tạp chí phản biện và cơ quan xuất bản uy tín.</w:t>
      </w:r>
    </w:p>
    <w:p>
      <w:pPr>
        <w:pStyle w:val="ListBullet"/>
        <w:spacing w:after="60" w:line="264" w:lineRule="auto"/>
      </w:pPr>
      <w:r>
        <w:rPr>
          <w:rFonts w:ascii="Times New Roman" w:hAnsi="Times New Roman"/>
          <w:sz w:val="21"/>
        </w:rPr>
        <w:t>Tiêu chí đánh giá: tác giả/cơ quan, uy tín nhà xuất bản, phương pháp nghiên cứu, ảnh hưởng trích dẫn, tính cập nhật và hạn chế của nguồn.</w:t>
      </w:r>
    </w:p>
    <w:p>
      <w:pPr>
        <w:spacing w:before="200" w:after="100"/>
      </w:pPr>
      <w:r>
        <w:rPr>
          <w:rFonts w:ascii="Arial" w:hAnsi="Arial"/>
          <w:b/>
          <w:color w:val="1F4E79"/>
          <w:sz w:val="30"/>
        </w:rPr>
        <w:t>III. KẾT QUẢ TÌM KIẾM</w:t>
      </w:r>
    </w:p>
    <w:p>
      <w:pPr>
        <w:spacing w:after="120" w:line="276" w:lineRule="auto"/>
        <w:jc w:val="both"/>
      </w:pPr>
      <w:r>
        <w:rPr>
          <w:rFonts w:ascii="Times New Roman" w:hAnsi="Times New Roman"/>
          <w:b w:val="0"/>
          <w:i w:val="0"/>
          <w:color w:val="1F2937"/>
          <w:sz w:val="22"/>
        </w:rPr>
        <w:t>Bộ tài liệu gồm 10 nguồn: 6 bài báo khoa học đã xuất bản, 2 nghiên cứu học thuật dạng working paper/preprint, 1 sách chuyên khảo và 1 báo cáo mở của tổ chức quốc tế. Cấu trúc này đáp ứng yêu cầu đa dạng nguồn và bảo đảm có ít nhất 5 bài báo khoa học.</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2438"/>
            <w:vAlign w:val="top"/>
            <w:shd w:fill="D9EAF7"/>
          </w:tcPr>
          <w:p>
            <w:pPr>
              <w:spacing w:after="0"/>
              <w:jc w:val="center"/>
            </w:pPr>
            <w:r/>
            <w:r>
              <w:rPr>
                <w:rFonts w:ascii="Times New Roman" w:hAnsi="Times New Roman"/>
                <w:b/>
                <w:color w:val="1F4E79"/>
                <w:sz w:val="32"/>
              </w:rPr>
              <w:t>6</w:t>
            </w:r>
          </w:p>
        </w:tc>
        <w:tc>
          <w:tcPr>
            <w:tcW w:type="dxa" w:w="2438"/>
            <w:vAlign w:val="top"/>
            <w:shd w:fill="D9EAF7"/>
          </w:tcPr>
          <w:p>
            <w:pPr>
              <w:spacing w:after="0"/>
              <w:jc w:val="center"/>
            </w:pPr>
            <w:r/>
            <w:r>
              <w:rPr>
                <w:rFonts w:ascii="Times New Roman" w:hAnsi="Times New Roman"/>
                <w:b/>
                <w:color w:val="1F4E79"/>
                <w:sz w:val="32"/>
              </w:rPr>
              <w:t>2</w:t>
            </w:r>
          </w:p>
        </w:tc>
        <w:tc>
          <w:tcPr>
            <w:tcW w:type="dxa" w:w="2438"/>
            <w:vAlign w:val="top"/>
            <w:shd w:fill="D9EAF7"/>
          </w:tcPr>
          <w:p>
            <w:pPr>
              <w:spacing w:after="0"/>
              <w:jc w:val="center"/>
            </w:pPr>
            <w:r/>
            <w:r>
              <w:rPr>
                <w:rFonts w:ascii="Times New Roman" w:hAnsi="Times New Roman"/>
                <w:b/>
                <w:color w:val="1F4E79"/>
                <w:sz w:val="32"/>
              </w:rPr>
              <w:t>1</w:t>
            </w:r>
          </w:p>
        </w:tc>
        <w:tc>
          <w:tcPr>
            <w:tcW w:type="dxa" w:w="2438"/>
            <w:vAlign w:val="top"/>
            <w:shd w:fill="D9EAF7"/>
          </w:tcPr>
          <w:p>
            <w:pPr>
              <w:spacing w:after="0"/>
              <w:jc w:val="center"/>
            </w:pPr>
            <w:r/>
            <w:r>
              <w:rPr>
                <w:rFonts w:ascii="Times New Roman" w:hAnsi="Times New Roman"/>
                <w:b/>
                <w:color w:val="1F4E79"/>
                <w:sz w:val="32"/>
              </w:rPr>
              <w:t>1</w:t>
            </w:r>
          </w:p>
        </w:tc>
      </w:tr>
      <w:tr>
        <w:tc>
          <w:tcPr>
            <w:tcW w:type="dxa" w:w="2438"/>
            <w:vAlign w:val="top"/>
          </w:tcPr>
          <w:p>
            <w:pPr>
              <w:spacing w:after="0"/>
              <w:jc w:val="center"/>
            </w:pPr>
            <w:r/>
            <w:r>
              <w:rPr>
                <w:rFonts w:ascii="Times New Roman" w:hAnsi="Times New Roman"/>
                <w:b/>
                <w:color w:val="1F2937"/>
                <w:sz w:val="17"/>
              </w:rPr>
              <w:t>Bài báo khoa học</w:t>
            </w:r>
          </w:p>
        </w:tc>
        <w:tc>
          <w:tcPr>
            <w:tcW w:type="dxa" w:w="2438"/>
            <w:vAlign w:val="top"/>
          </w:tcPr>
          <w:p>
            <w:pPr>
              <w:spacing w:after="0"/>
              <w:jc w:val="center"/>
            </w:pPr>
            <w:r/>
            <w:r>
              <w:rPr>
                <w:rFonts w:ascii="Times New Roman" w:hAnsi="Times New Roman"/>
                <w:b/>
                <w:color w:val="1F2937"/>
                <w:sz w:val="17"/>
              </w:rPr>
              <w:t>Nguồn học thuật</w:t>
            </w:r>
          </w:p>
        </w:tc>
        <w:tc>
          <w:tcPr>
            <w:tcW w:type="dxa" w:w="2438"/>
            <w:vAlign w:val="top"/>
          </w:tcPr>
          <w:p>
            <w:pPr>
              <w:spacing w:after="0"/>
              <w:jc w:val="center"/>
            </w:pPr>
            <w:r/>
            <w:r>
              <w:rPr>
                <w:rFonts w:ascii="Times New Roman" w:hAnsi="Times New Roman"/>
                <w:b/>
                <w:color w:val="1F2937"/>
                <w:sz w:val="17"/>
              </w:rPr>
              <w:t>Sách chuyên khảo</w:t>
            </w:r>
          </w:p>
        </w:tc>
        <w:tc>
          <w:tcPr>
            <w:tcW w:type="dxa" w:w="2438"/>
            <w:vAlign w:val="top"/>
          </w:tcPr>
          <w:p>
            <w:pPr>
              <w:spacing w:after="0"/>
              <w:jc w:val="center"/>
            </w:pPr>
            <w:r/>
            <w:r>
              <w:rPr>
                <w:rFonts w:ascii="Times New Roman" w:hAnsi="Times New Roman"/>
                <w:b/>
                <w:color w:val="1F2937"/>
                <w:sz w:val="17"/>
              </w:rPr>
              <w:t>Báo cáo OECD</w:t>
            </w:r>
          </w:p>
        </w:tc>
      </w:tr>
    </w:tbl>
    <w:p>
      <w:pPr>
        <w:spacing w:after="80" w:line="276" w:lineRule="auto"/>
        <w:jc w:val="center"/>
      </w:pPr>
      <w:r>
        <w:rPr>
          <w:rFonts w:ascii="Times New Roman" w:hAnsi="Times New Roman"/>
          <w:b/>
          <w:i/>
          <w:color w:val="1F2937"/>
          <w:sz w:val="20"/>
        </w:rPr>
        <w:t>Bảng 1. Tổng hợp và đánh giá độ tin cậy của 10 nguồn thông tin</w:t>
      </w:r>
    </w:p>
    <w:p>
      <w:pPr>
        <w:sectPr>
          <w:footerReference w:type="default" r:id="rId9"/>
          <w:pgSz w:w="11906" w:h="16838"/>
          <w:pgMar w:top="964" w:right="1020" w:bottom="907" w:left="1134" w:header="720" w:footer="720" w:gutter="0"/>
          <w:cols w:space="720"/>
          <w:docGrid w:linePitch="360"/>
        </w:sectPr>
      </w:pPr>
    </w:p>
    <w:tbl>
      <w:tblPr>
        <w:tblStyle w:val="TableGrid"/>
        <w:tblW w:type="auto" w:w="0"/>
        <w:jc w:val="center"/>
        <w:tblLook w:firstColumn="1" w:firstRow="1" w:lastColumn="0" w:lastRow="0" w:noHBand="0" w:noVBand="1" w:val="04A0"/>
      </w:tblPr>
      <w:tblGrid>
        <w:gridCol w:w="2211"/>
        <w:gridCol w:w="2211"/>
        <w:gridCol w:w="2211"/>
        <w:gridCol w:w="2211"/>
        <w:gridCol w:w="2211"/>
        <w:gridCol w:w="2211"/>
        <w:gridCol w:w="2211"/>
      </w:tblGrid>
      <w:tr>
        <w:trPr>
          <w:tblHeader w:val="true"/>
        </w:trPr>
        <w:tc>
          <w:tcPr>
            <w:tcW w:type="dxa" w:w="397"/>
            <w:vAlign w:val="top"/>
            <w:shd w:fill="1F4E79"/>
            <w:tcMar>
              <w:top w:w="55" w:type="dxa"/>
              <w:start w:w="55" w:type="dxa"/>
              <w:bottom w:w="55" w:type="dxa"/>
              <w:end w:w="55" w:type="dxa"/>
            </w:tcMar>
          </w:tcPr>
          <w:p>
            <w:pPr>
              <w:spacing w:after="0"/>
              <w:jc w:val="center"/>
            </w:pPr>
            <w:r/>
            <w:r>
              <w:rPr>
                <w:rFonts w:ascii="Times New Roman" w:hAnsi="Times New Roman"/>
                <w:b/>
                <w:color w:val="FFFFFF"/>
                <w:sz w:val="16"/>
              </w:rPr>
              <w:t>STT</w:t>
            </w:r>
          </w:p>
        </w:tc>
        <w:tc>
          <w:tcPr>
            <w:tcW w:type="dxa" w:w="2381"/>
            <w:vAlign w:val="top"/>
            <w:shd w:fill="1F4E79"/>
            <w:tcMar>
              <w:top w:w="55" w:type="dxa"/>
              <w:start w:w="55" w:type="dxa"/>
              <w:bottom w:w="55" w:type="dxa"/>
              <w:end w:w="55" w:type="dxa"/>
            </w:tcMar>
          </w:tcPr>
          <w:p>
            <w:pPr>
              <w:spacing w:after="0"/>
              <w:jc w:val="center"/>
            </w:pPr>
            <w:r/>
            <w:r>
              <w:rPr>
                <w:rFonts w:ascii="Times New Roman" w:hAnsi="Times New Roman"/>
                <w:b/>
                <w:color w:val="FFFFFF"/>
                <w:sz w:val="16"/>
              </w:rPr>
              <w:t>Nguồn và loại nguồn</w:t>
            </w:r>
          </w:p>
        </w:tc>
        <w:tc>
          <w:tcPr>
            <w:tcW w:type="dxa" w:w="2891"/>
            <w:vAlign w:val="top"/>
            <w:shd w:fill="1F4E79"/>
            <w:tcMar>
              <w:top w:w="55" w:type="dxa"/>
              <w:start w:w="55" w:type="dxa"/>
              <w:bottom w:w="55" w:type="dxa"/>
              <w:end w:w="55" w:type="dxa"/>
            </w:tcMar>
          </w:tcPr>
          <w:p>
            <w:pPr>
              <w:spacing w:after="0"/>
              <w:jc w:val="center"/>
            </w:pPr>
            <w:r/>
            <w:r>
              <w:rPr>
                <w:rFonts w:ascii="Times New Roman" w:hAnsi="Times New Roman"/>
                <w:b/>
                <w:color w:val="FFFFFF"/>
                <w:sz w:val="16"/>
              </w:rPr>
              <w:t>Phương pháp / dữ liệu</w:t>
            </w:r>
          </w:p>
        </w:tc>
        <w:tc>
          <w:tcPr>
            <w:tcW w:type="dxa" w:w="2948"/>
            <w:vAlign w:val="top"/>
            <w:shd w:fill="1F4E79"/>
            <w:tcMar>
              <w:top w:w="55" w:type="dxa"/>
              <w:start w:w="55" w:type="dxa"/>
              <w:bottom w:w="55" w:type="dxa"/>
              <w:end w:w="55" w:type="dxa"/>
            </w:tcMar>
          </w:tcPr>
          <w:p>
            <w:pPr>
              <w:spacing w:after="0"/>
              <w:jc w:val="center"/>
            </w:pPr>
            <w:r/>
            <w:r>
              <w:rPr>
                <w:rFonts w:ascii="Times New Roman" w:hAnsi="Times New Roman"/>
                <w:b/>
                <w:color w:val="FFFFFF"/>
                <w:sz w:val="16"/>
              </w:rPr>
              <w:t>Kết quả chính</w:t>
            </w:r>
          </w:p>
        </w:tc>
        <w:tc>
          <w:tcPr>
            <w:tcW w:type="dxa" w:w="2381"/>
            <w:vAlign w:val="top"/>
            <w:shd w:fill="1F4E79"/>
            <w:tcMar>
              <w:top w:w="55" w:type="dxa"/>
              <w:start w:w="55" w:type="dxa"/>
              <w:bottom w:w="55" w:type="dxa"/>
              <w:end w:w="55" w:type="dxa"/>
            </w:tcMar>
          </w:tcPr>
          <w:p>
            <w:pPr>
              <w:spacing w:after="0"/>
              <w:jc w:val="center"/>
            </w:pPr>
            <w:r/>
            <w:r>
              <w:rPr>
                <w:rFonts w:ascii="Times New Roman" w:hAnsi="Times New Roman"/>
                <w:b/>
                <w:color w:val="FFFFFF"/>
                <w:sz w:val="16"/>
              </w:rPr>
              <w:t>Đánh giá theo tiêu chí</w:t>
            </w:r>
          </w:p>
        </w:tc>
        <w:tc>
          <w:tcPr>
            <w:tcW w:type="dxa" w:w="2098"/>
            <w:vAlign w:val="top"/>
            <w:shd w:fill="1F4E79"/>
            <w:tcMar>
              <w:top w:w="55" w:type="dxa"/>
              <w:start w:w="55" w:type="dxa"/>
              <w:bottom w:w="55" w:type="dxa"/>
              <w:end w:w="55" w:type="dxa"/>
            </w:tcMar>
          </w:tcPr>
          <w:p>
            <w:pPr>
              <w:spacing w:after="0"/>
              <w:jc w:val="center"/>
            </w:pPr>
            <w:r/>
            <w:r>
              <w:rPr>
                <w:rFonts w:ascii="Times New Roman" w:hAnsi="Times New Roman"/>
                <w:b/>
                <w:color w:val="FFFFFF"/>
                <w:sz w:val="16"/>
              </w:rPr>
              <w:t>Hạn chế</w:t>
            </w:r>
          </w:p>
        </w:tc>
        <w:tc>
          <w:tcPr>
            <w:tcW w:type="dxa" w:w="794"/>
            <w:vAlign w:val="top"/>
            <w:shd w:fill="1F4E79"/>
            <w:tcMar>
              <w:top w:w="55" w:type="dxa"/>
              <w:start w:w="55" w:type="dxa"/>
              <w:bottom w:w="55" w:type="dxa"/>
              <w:end w:w="55" w:type="dxa"/>
            </w:tcMar>
          </w:tcPr>
          <w:p>
            <w:pPr>
              <w:spacing w:after="0"/>
              <w:jc w:val="center"/>
            </w:pPr>
            <w:r/>
            <w:r>
              <w:rPr>
                <w:rFonts w:ascii="Times New Roman" w:hAnsi="Times New Roman"/>
                <w:b/>
                <w:color w:val="FFFFFF"/>
                <w:sz w:val="16"/>
              </w:rPr>
              <w:t>Xếp hạng</w:t>
            </w:r>
          </w:p>
        </w:tc>
      </w:tr>
      <w:tr>
        <w:tc>
          <w:tcPr>
            <w:tcW w:type="dxa" w:w="397"/>
            <w:vAlign w:val="top"/>
            <w:tcMar>
              <w:top w:w="45" w:type="dxa"/>
              <w:start w:w="50" w:type="dxa"/>
              <w:bottom w:w="45" w:type="dxa"/>
              <w:end w:w="50" w:type="dxa"/>
            </w:tcMar>
          </w:tcPr>
          <w:p>
            <w:pPr>
              <w:spacing w:after="0"/>
              <w:jc w:val="center"/>
            </w:pPr>
            <w:r/>
            <w:r>
              <w:rPr>
                <w:rFonts w:ascii="Times New Roman" w:hAnsi="Times New Roman"/>
                <w:b/>
                <w:color w:val="1F2937"/>
                <w:sz w:val="14"/>
              </w:rPr>
              <w:t>1</w:t>
            </w:r>
          </w:p>
        </w:tc>
        <w:tc>
          <w:tcPr>
            <w:tcW w:type="dxa" w:w="2381"/>
            <w:vAlign w:val="top"/>
            <w:tcMar>
              <w:top w:w="45" w:type="dxa"/>
              <w:start w:w="50" w:type="dxa"/>
              <w:bottom w:w="45" w:type="dxa"/>
              <w:end w:w="50" w:type="dxa"/>
            </w:tcMar>
          </w:tcPr>
          <w:p>
            <w:pPr>
              <w:spacing w:after="0"/>
              <w:jc w:val="left"/>
            </w:pPr>
            <w:r/>
            <w:r>
              <w:rPr>
                <w:rFonts w:ascii="Times New Roman" w:hAnsi="Times New Roman"/>
                <w:b w:val="0"/>
                <w:color w:val="1F2937"/>
                <w:sz w:val="14"/>
              </w:rPr>
              <w:t>Noy &amp; Zhang (2023)</w:t>
              <w:br/>
              <w:t>Bài báo khoa học – Science</w:t>
            </w:r>
          </w:p>
        </w:tc>
        <w:tc>
          <w:tcPr>
            <w:tcW w:type="dxa" w:w="2891"/>
            <w:vAlign w:val="top"/>
            <w:tcMar>
              <w:top w:w="45" w:type="dxa"/>
              <w:start w:w="50" w:type="dxa"/>
              <w:bottom w:w="45" w:type="dxa"/>
              <w:end w:w="50" w:type="dxa"/>
            </w:tcMar>
          </w:tcPr>
          <w:p>
            <w:pPr>
              <w:spacing w:after="0"/>
              <w:jc w:val="left"/>
            </w:pPr>
            <w:r/>
            <w:r>
              <w:rPr>
                <w:rFonts w:ascii="Times New Roman" w:hAnsi="Times New Roman"/>
                <w:b w:val="0"/>
                <w:color w:val="1F2937"/>
                <w:sz w:val="14"/>
              </w:rPr>
              <w:t>Thí nghiệm ngẫu nhiên có đăng ký trước; 444 chuyên gia có trình độ đại học thực hiện nhiệm vụ viết chuyên môn.</w:t>
            </w:r>
          </w:p>
        </w:tc>
        <w:tc>
          <w:tcPr>
            <w:tcW w:type="dxa" w:w="2948"/>
            <w:vAlign w:val="top"/>
            <w:tcMar>
              <w:top w:w="45" w:type="dxa"/>
              <w:start w:w="50" w:type="dxa"/>
              <w:bottom w:w="45" w:type="dxa"/>
              <w:end w:w="50" w:type="dxa"/>
            </w:tcMar>
          </w:tcPr>
          <w:p>
            <w:pPr>
              <w:spacing w:after="0"/>
              <w:jc w:val="left"/>
            </w:pPr>
            <w:r/>
            <w:r>
              <w:rPr>
                <w:rFonts w:ascii="Times New Roman" w:hAnsi="Times New Roman"/>
                <w:b w:val="0"/>
                <w:color w:val="1F2937"/>
                <w:sz w:val="14"/>
              </w:rPr>
              <w:t>ChatGPT giúp giảm khoảng 40% thời gian và tăng khoảng 18% chất lượng đầu ra; lợi ích lớn hơn với người có năng lực ban đầu thấp.</w:t>
            </w:r>
          </w:p>
        </w:tc>
        <w:tc>
          <w:tcPr>
            <w:tcW w:type="dxa" w:w="2381"/>
            <w:vAlign w:val="top"/>
            <w:tcMar>
              <w:top w:w="45" w:type="dxa"/>
              <w:start w:w="50" w:type="dxa"/>
              <w:bottom w:w="45" w:type="dxa"/>
              <w:end w:w="50" w:type="dxa"/>
            </w:tcMar>
          </w:tcPr>
          <w:p>
            <w:pPr>
              <w:spacing w:after="0"/>
              <w:jc w:val="left"/>
            </w:pPr>
            <w:r/>
            <w:r>
              <w:rPr>
                <w:rFonts w:ascii="Times New Roman" w:hAnsi="Times New Roman"/>
                <w:b w:val="0"/>
                <w:color w:val="1F2937"/>
                <w:sz w:val="14"/>
              </w:rPr>
              <w:t>Tác giả: Cao</w:t>
              <w:br/>
              <w:t>NXB: Rất cao</w:t>
              <w:br/>
              <w:t>Phương pháp: Rất cao</w:t>
              <w:br/>
              <w:t>Trích dẫn: Rất cao</w:t>
              <w:br/>
              <w:t>Cập nhật: Cao</w:t>
            </w:r>
          </w:p>
        </w:tc>
        <w:tc>
          <w:tcPr>
            <w:tcW w:type="dxa" w:w="2098"/>
            <w:vAlign w:val="top"/>
            <w:tcMar>
              <w:top w:w="45" w:type="dxa"/>
              <w:start w:w="50" w:type="dxa"/>
              <w:bottom w:w="45" w:type="dxa"/>
              <w:end w:w="50" w:type="dxa"/>
            </w:tcMar>
          </w:tcPr>
          <w:p>
            <w:pPr>
              <w:spacing w:after="0"/>
              <w:jc w:val="left"/>
            </w:pPr>
            <w:r/>
            <w:r>
              <w:rPr>
                <w:rFonts w:ascii="Times New Roman" w:hAnsi="Times New Roman"/>
                <w:b w:val="0"/>
                <w:color w:val="1F2937"/>
                <w:sz w:val="14"/>
              </w:rPr>
              <w:t>Nhiệm vụ ngắn, khép kín; chưa phản ánh toàn bộ công việc dài hạn.</w:t>
            </w:r>
          </w:p>
        </w:tc>
        <w:tc>
          <w:tcPr>
            <w:tcW w:type="dxa" w:w="794"/>
            <w:vAlign w:val="top"/>
            <w:tcMar>
              <w:top w:w="45" w:type="dxa"/>
              <w:start w:w="50" w:type="dxa"/>
              <w:bottom w:w="45" w:type="dxa"/>
              <w:end w:w="50" w:type="dxa"/>
            </w:tcMar>
          </w:tcPr>
          <w:p>
            <w:pPr>
              <w:spacing w:after="0"/>
              <w:jc w:val="center"/>
            </w:pPr>
            <w:r/>
            <w:r>
              <w:rPr>
                <w:rFonts w:ascii="Times New Roman" w:hAnsi="Times New Roman"/>
                <w:b/>
                <w:color w:val="1F2937"/>
                <w:sz w:val="14"/>
              </w:rPr>
              <w:t>5,0/5</w:t>
            </w:r>
          </w:p>
        </w:tc>
      </w:tr>
      <w:tr>
        <w:tc>
          <w:tcPr>
            <w:tcW w:type="dxa" w:w="397"/>
            <w:vAlign w:val="top"/>
            <w:tcMar>
              <w:top w:w="45" w:type="dxa"/>
              <w:start w:w="50" w:type="dxa"/>
              <w:bottom w:w="45" w:type="dxa"/>
              <w:end w:w="50" w:type="dxa"/>
            </w:tcMar>
            <w:shd w:fill="F2F6F9"/>
          </w:tcPr>
          <w:p>
            <w:pPr>
              <w:spacing w:after="0"/>
              <w:jc w:val="center"/>
            </w:pPr>
            <w:r/>
            <w:r>
              <w:rPr>
                <w:rFonts w:ascii="Times New Roman" w:hAnsi="Times New Roman"/>
                <w:b/>
                <w:color w:val="1F2937"/>
                <w:sz w:val="14"/>
              </w:rPr>
              <w:t>2</w:t>
            </w:r>
          </w:p>
        </w:tc>
        <w:tc>
          <w:tcPr>
            <w:tcW w:type="dxa" w:w="2381"/>
            <w:vAlign w:val="top"/>
            <w:tcMar>
              <w:top w:w="45" w:type="dxa"/>
              <w:start w:w="50" w:type="dxa"/>
              <w:bottom w:w="45" w:type="dxa"/>
              <w:end w:w="50" w:type="dxa"/>
            </w:tcMar>
            <w:shd w:fill="F2F6F9"/>
          </w:tcPr>
          <w:p>
            <w:pPr>
              <w:spacing w:after="0"/>
              <w:jc w:val="left"/>
            </w:pPr>
            <w:r/>
            <w:r>
              <w:rPr>
                <w:rFonts w:ascii="Times New Roman" w:hAnsi="Times New Roman"/>
                <w:b w:val="0"/>
                <w:color w:val="1F2937"/>
                <w:sz w:val="14"/>
              </w:rPr>
              <w:t>Brynjolfsson, Li &amp; Raymond (2025)</w:t>
              <w:br/>
              <w:t>Bài báo khoa học – QJE</w:t>
            </w:r>
          </w:p>
        </w:tc>
        <w:tc>
          <w:tcPr>
            <w:tcW w:type="dxa" w:w="2891"/>
            <w:vAlign w:val="top"/>
            <w:tcMar>
              <w:top w:w="45" w:type="dxa"/>
              <w:start w:w="50" w:type="dxa"/>
              <w:bottom w:w="45" w:type="dxa"/>
              <w:end w:w="50" w:type="dxa"/>
            </w:tcMar>
            <w:shd w:fill="F2F6F9"/>
          </w:tcPr>
          <w:p>
            <w:pPr>
              <w:spacing w:after="0"/>
              <w:jc w:val="left"/>
            </w:pPr>
            <w:r/>
            <w:r>
              <w:rPr>
                <w:rFonts w:ascii="Times New Roman" w:hAnsi="Times New Roman"/>
                <w:b w:val="0"/>
                <w:color w:val="1F2937"/>
                <w:sz w:val="14"/>
              </w:rPr>
              <w:t>Triển khai theo giai đoạn và phân tích difference-in-differences trên dữ liệu 5.172 nhân viên hỗ trợ khách hàng.</w:t>
            </w:r>
          </w:p>
        </w:tc>
        <w:tc>
          <w:tcPr>
            <w:tcW w:type="dxa" w:w="2948"/>
            <w:vAlign w:val="top"/>
            <w:tcMar>
              <w:top w:w="45" w:type="dxa"/>
              <w:start w:w="50" w:type="dxa"/>
              <w:bottom w:w="45" w:type="dxa"/>
              <w:end w:w="50" w:type="dxa"/>
            </w:tcMar>
            <w:shd w:fill="F2F6F9"/>
          </w:tcPr>
          <w:p>
            <w:pPr>
              <w:spacing w:after="0"/>
              <w:jc w:val="left"/>
            </w:pPr>
            <w:r/>
            <w:r>
              <w:rPr>
                <w:rFonts w:ascii="Times New Roman" w:hAnsi="Times New Roman"/>
                <w:b w:val="0"/>
                <w:color w:val="1F2937"/>
                <w:sz w:val="14"/>
              </w:rPr>
              <w:t>Năng suất tăng trung bình 15%; nhân viên ít kinh nghiệm hưởng lợi nhiều hơn và có dấu hiệu học hỏi từ AI.</w:t>
            </w:r>
          </w:p>
        </w:tc>
        <w:tc>
          <w:tcPr>
            <w:tcW w:type="dxa" w:w="2381"/>
            <w:vAlign w:val="top"/>
            <w:tcMar>
              <w:top w:w="45" w:type="dxa"/>
              <w:start w:w="50" w:type="dxa"/>
              <w:bottom w:w="45" w:type="dxa"/>
              <w:end w:w="50" w:type="dxa"/>
            </w:tcMar>
            <w:shd w:fill="F2F6F9"/>
          </w:tcPr>
          <w:p>
            <w:pPr>
              <w:spacing w:after="0"/>
              <w:jc w:val="left"/>
            </w:pPr>
            <w:r/>
            <w:r>
              <w:rPr>
                <w:rFonts w:ascii="Times New Roman" w:hAnsi="Times New Roman"/>
                <w:b w:val="0"/>
                <w:color w:val="1F2937"/>
                <w:sz w:val="14"/>
              </w:rPr>
              <w:t>Tác giả: Rất cao</w:t>
              <w:br/>
              <w:t>NXB: Rất cao</w:t>
              <w:br/>
              <w:t>Phương pháp: Rất cao</w:t>
              <w:br/>
              <w:t>Trích dẫn: Rất cao</w:t>
              <w:br/>
              <w:t>Cập nhật: Rất cao</w:t>
            </w:r>
          </w:p>
        </w:tc>
        <w:tc>
          <w:tcPr>
            <w:tcW w:type="dxa" w:w="2098"/>
            <w:vAlign w:val="top"/>
            <w:tcMar>
              <w:top w:w="45" w:type="dxa"/>
              <w:start w:w="50" w:type="dxa"/>
              <w:bottom w:w="45" w:type="dxa"/>
              <w:end w:w="50" w:type="dxa"/>
            </w:tcMar>
            <w:shd w:fill="F2F6F9"/>
          </w:tcPr>
          <w:p>
            <w:pPr>
              <w:spacing w:after="0"/>
              <w:jc w:val="left"/>
            </w:pPr>
            <w:r/>
            <w:r>
              <w:rPr>
                <w:rFonts w:ascii="Times New Roman" w:hAnsi="Times New Roman"/>
                <w:b w:val="0"/>
                <w:color w:val="1F2937"/>
                <w:sz w:val="14"/>
              </w:rPr>
              <w:t>Một doanh nghiệp và một nghề nghiệp; cần thận trọng khi khái quát.</w:t>
            </w:r>
          </w:p>
        </w:tc>
        <w:tc>
          <w:tcPr>
            <w:tcW w:type="dxa" w:w="794"/>
            <w:vAlign w:val="top"/>
            <w:tcMar>
              <w:top w:w="45" w:type="dxa"/>
              <w:start w:w="50" w:type="dxa"/>
              <w:bottom w:w="45" w:type="dxa"/>
              <w:end w:w="50" w:type="dxa"/>
            </w:tcMar>
            <w:shd w:fill="F2F6F9"/>
          </w:tcPr>
          <w:p>
            <w:pPr>
              <w:spacing w:after="0"/>
              <w:jc w:val="center"/>
            </w:pPr>
            <w:r/>
            <w:r>
              <w:rPr>
                <w:rFonts w:ascii="Times New Roman" w:hAnsi="Times New Roman"/>
                <w:b/>
                <w:color w:val="1F2937"/>
                <w:sz w:val="14"/>
              </w:rPr>
              <w:t>5,0/5</w:t>
            </w:r>
          </w:p>
        </w:tc>
      </w:tr>
      <w:tr>
        <w:tc>
          <w:tcPr>
            <w:tcW w:type="dxa" w:w="397"/>
            <w:vAlign w:val="top"/>
            <w:tcMar>
              <w:top w:w="45" w:type="dxa"/>
              <w:start w:w="50" w:type="dxa"/>
              <w:bottom w:w="45" w:type="dxa"/>
              <w:end w:w="50" w:type="dxa"/>
            </w:tcMar>
          </w:tcPr>
          <w:p>
            <w:pPr>
              <w:spacing w:after="0"/>
              <w:jc w:val="center"/>
            </w:pPr>
            <w:r/>
            <w:r>
              <w:rPr>
                <w:rFonts w:ascii="Times New Roman" w:hAnsi="Times New Roman"/>
                <w:b/>
                <w:color w:val="1F2937"/>
                <w:sz w:val="14"/>
              </w:rPr>
              <w:t>3</w:t>
            </w:r>
          </w:p>
        </w:tc>
        <w:tc>
          <w:tcPr>
            <w:tcW w:type="dxa" w:w="2381"/>
            <w:vAlign w:val="top"/>
            <w:tcMar>
              <w:top w:w="45" w:type="dxa"/>
              <w:start w:w="50" w:type="dxa"/>
              <w:bottom w:w="45" w:type="dxa"/>
              <w:end w:w="50" w:type="dxa"/>
            </w:tcMar>
          </w:tcPr>
          <w:p>
            <w:pPr>
              <w:spacing w:after="0"/>
              <w:jc w:val="left"/>
            </w:pPr>
            <w:r/>
            <w:r>
              <w:rPr>
                <w:rFonts w:ascii="Times New Roman" w:hAnsi="Times New Roman"/>
                <w:b w:val="0"/>
                <w:color w:val="1F2937"/>
                <w:sz w:val="14"/>
              </w:rPr>
              <w:t>Bughin (2024)</w:t>
              <w:br/>
              <w:t>Bài báo khoa học – Structural Change and Economic Dynamics</w:t>
            </w:r>
          </w:p>
        </w:tc>
        <w:tc>
          <w:tcPr>
            <w:tcW w:type="dxa" w:w="2891"/>
            <w:vAlign w:val="top"/>
            <w:tcMar>
              <w:top w:w="45" w:type="dxa"/>
              <w:start w:w="50" w:type="dxa"/>
              <w:bottom w:w="45" w:type="dxa"/>
              <w:end w:w="50" w:type="dxa"/>
            </w:tcMar>
          </w:tcPr>
          <w:p>
            <w:pPr>
              <w:spacing w:after="0"/>
              <w:jc w:val="left"/>
            </w:pPr>
            <w:r/>
            <w:r>
              <w:rPr>
                <w:rFonts w:ascii="Times New Roman" w:hAnsi="Times New Roman"/>
                <w:b w:val="0"/>
                <w:color w:val="1F2937"/>
                <w:sz w:val="14"/>
              </w:rPr>
              <w:t>Phân tích kinh tế lượng các trường hợp sử dụng GenAI trong doanh nghiệp lớn ở nội dung, lập trình, marketing, bán hàng và chăm sóc khách hàng.</w:t>
            </w:r>
          </w:p>
        </w:tc>
        <w:tc>
          <w:tcPr>
            <w:tcW w:type="dxa" w:w="2948"/>
            <w:vAlign w:val="top"/>
            <w:tcMar>
              <w:top w:w="45" w:type="dxa"/>
              <w:start w:w="50" w:type="dxa"/>
              <w:bottom w:w="45" w:type="dxa"/>
              <w:end w:w="50" w:type="dxa"/>
            </w:tcMar>
          </w:tcPr>
          <w:p>
            <w:pPr>
              <w:spacing w:after="0"/>
              <w:jc w:val="left"/>
            </w:pPr>
            <w:r/>
            <w:r>
              <w:rPr>
                <w:rFonts w:ascii="Times New Roman" w:hAnsi="Times New Roman"/>
                <w:b w:val="0"/>
                <w:color w:val="1F2937"/>
                <w:sz w:val="14"/>
              </w:rPr>
              <w:t>Mức tăng năng suất lao động được báo cáo trung bình khoảng 20,1%; năng lực dữ liệu, nhân lực AI và quản trị quyết định mức hưởng lợi.</w:t>
            </w:r>
          </w:p>
        </w:tc>
        <w:tc>
          <w:tcPr>
            <w:tcW w:type="dxa" w:w="2381"/>
            <w:vAlign w:val="top"/>
            <w:tcMar>
              <w:top w:w="45" w:type="dxa"/>
              <w:start w:w="50" w:type="dxa"/>
              <w:bottom w:w="45" w:type="dxa"/>
              <w:end w:w="50" w:type="dxa"/>
            </w:tcMar>
          </w:tcPr>
          <w:p>
            <w:pPr>
              <w:spacing w:after="0"/>
              <w:jc w:val="left"/>
            </w:pPr>
            <w:r/>
            <w:r>
              <w:rPr>
                <w:rFonts w:ascii="Times New Roman" w:hAnsi="Times New Roman"/>
                <w:b w:val="0"/>
                <w:color w:val="1F2937"/>
                <w:sz w:val="14"/>
              </w:rPr>
              <w:t>Tác giả: Cao</w:t>
              <w:br/>
              <w:t>NXB: Rất cao</w:t>
              <w:br/>
              <w:t>Phương pháp: Cao</w:t>
              <w:br/>
              <w:t>Trích dẫn: Khá</w:t>
              <w:br/>
              <w:t>Cập nhật: Rất cao</w:t>
            </w:r>
          </w:p>
        </w:tc>
        <w:tc>
          <w:tcPr>
            <w:tcW w:type="dxa" w:w="2098"/>
            <w:vAlign w:val="top"/>
            <w:tcMar>
              <w:top w:w="45" w:type="dxa"/>
              <w:start w:w="50" w:type="dxa"/>
              <w:bottom w:w="45" w:type="dxa"/>
              <w:end w:w="50" w:type="dxa"/>
            </w:tcMar>
          </w:tcPr>
          <w:p>
            <w:pPr>
              <w:spacing w:after="0"/>
              <w:jc w:val="left"/>
            </w:pPr>
            <w:r/>
            <w:r>
              <w:rPr>
                <w:rFonts w:ascii="Times New Roman" w:hAnsi="Times New Roman"/>
                <w:b w:val="0"/>
                <w:color w:val="1F2937"/>
                <w:sz w:val="14"/>
              </w:rPr>
              <w:t>Dữ liệu trường hợp doanh nghiệp có thể chịu sai lệch tự báo cáo.</w:t>
            </w:r>
          </w:p>
        </w:tc>
        <w:tc>
          <w:tcPr>
            <w:tcW w:type="dxa" w:w="794"/>
            <w:vAlign w:val="top"/>
            <w:tcMar>
              <w:top w:w="45" w:type="dxa"/>
              <w:start w:w="50" w:type="dxa"/>
              <w:bottom w:w="45" w:type="dxa"/>
              <w:end w:w="50" w:type="dxa"/>
            </w:tcMar>
          </w:tcPr>
          <w:p>
            <w:pPr>
              <w:spacing w:after="0"/>
              <w:jc w:val="center"/>
            </w:pPr>
            <w:r/>
            <w:r>
              <w:rPr>
                <w:rFonts w:ascii="Times New Roman" w:hAnsi="Times New Roman"/>
                <w:b/>
                <w:color w:val="1F2937"/>
                <w:sz w:val="14"/>
              </w:rPr>
              <w:t>4,5/5</w:t>
            </w:r>
          </w:p>
        </w:tc>
      </w:tr>
      <w:tr>
        <w:tc>
          <w:tcPr>
            <w:tcW w:type="dxa" w:w="397"/>
            <w:vAlign w:val="top"/>
            <w:tcMar>
              <w:top w:w="45" w:type="dxa"/>
              <w:start w:w="50" w:type="dxa"/>
              <w:bottom w:w="45" w:type="dxa"/>
              <w:end w:w="50" w:type="dxa"/>
            </w:tcMar>
            <w:shd w:fill="F2F6F9"/>
          </w:tcPr>
          <w:p>
            <w:pPr>
              <w:spacing w:after="0"/>
              <w:jc w:val="center"/>
            </w:pPr>
            <w:r/>
            <w:r>
              <w:rPr>
                <w:rFonts w:ascii="Times New Roman" w:hAnsi="Times New Roman"/>
                <w:b/>
                <w:color w:val="1F2937"/>
                <w:sz w:val="14"/>
              </w:rPr>
              <w:t>4</w:t>
            </w:r>
          </w:p>
        </w:tc>
        <w:tc>
          <w:tcPr>
            <w:tcW w:type="dxa" w:w="2381"/>
            <w:vAlign w:val="top"/>
            <w:tcMar>
              <w:top w:w="45" w:type="dxa"/>
              <w:start w:w="50" w:type="dxa"/>
              <w:bottom w:w="45" w:type="dxa"/>
              <w:end w:w="50" w:type="dxa"/>
            </w:tcMar>
            <w:shd w:fill="F2F6F9"/>
          </w:tcPr>
          <w:p>
            <w:pPr>
              <w:spacing w:after="0"/>
              <w:jc w:val="left"/>
            </w:pPr>
            <w:r/>
            <w:r>
              <w:rPr>
                <w:rFonts w:ascii="Times New Roman" w:hAnsi="Times New Roman"/>
                <w:b w:val="0"/>
                <w:color w:val="1F2937"/>
                <w:sz w:val="14"/>
              </w:rPr>
              <w:t>Kassa &amp; Worku (2025)</w:t>
              <w:br/>
              <w:t>Bài báo khoa học – Journal of Open Innovation</w:t>
            </w:r>
          </w:p>
        </w:tc>
        <w:tc>
          <w:tcPr>
            <w:tcW w:type="dxa" w:w="2891"/>
            <w:vAlign w:val="top"/>
            <w:tcMar>
              <w:top w:w="45" w:type="dxa"/>
              <w:start w:w="50" w:type="dxa"/>
              <w:bottom w:w="45" w:type="dxa"/>
              <w:end w:w="50" w:type="dxa"/>
            </w:tcMar>
            <w:shd w:fill="F2F6F9"/>
          </w:tcPr>
          <w:p>
            <w:pPr>
              <w:spacing w:after="0"/>
              <w:jc w:val="left"/>
            </w:pPr>
            <w:r/>
            <w:r>
              <w:rPr>
                <w:rFonts w:ascii="Times New Roman" w:hAnsi="Times New Roman"/>
                <w:b w:val="0"/>
                <w:color w:val="1F2937"/>
                <w:sz w:val="14"/>
              </w:rPr>
              <w:t>Khảo sát định lượng 172 nhân viên Ethio Telecom; phân tích PLS-SEM để kiểm định vai trò trung gian của năng suất nhân viên.</w:t>
            </w:r>
          </w:p>
        </w:tc>
        <w:tc>
          <w:tcPr>
            <w:tcW w:type="dxa" w:w="2948"/>
            <w:vAlign w:val="top"/>
            <w:tcMar>
              <w:top w:w="45" w:type="dxa"/>
              <w:start w:w="50" w:type="dxa"/>
              <w:bottom w:w="45" w:type="dxa"/>
              <w:end w:w="50" w:type="dxa"/>
            </w:tcMar>
            <w:shd w:fill="F2F6F9"/>
          </w:tcPr>
          <w:p>
            <w:pPr>
              <w:spacing w:after="0"/>
              <w:jc w:val="left"/>
            </w:pPr>
            <w:r/>
            <w:r>
              <w:rPr>
                <w:rFonts w:ascii="Times New Roman" w:hAnsi="Times New Roman"/>
                <w:b w:val="0"/>
                <w:color w:val="1F2937"/>
                <w:sz w:val="14"/>
              </w:rPr>
              <w:t>AI có quan hệ tích cực với năng suất nhân viên và hiệu quả tổ chức; năng suất nhân viên đóng vai trò trung gian một phần.</w:t>
            </w:r>
          </w:p>
        </w:tc>
        <w:tc>
          <w:tcPr>
            <w:tcW w:type="dxa" w:w="2381"/>
            <w:vAlign w:val="top"/>
            <w:tcMar>
              <w:top w:w="45" w:type="dxa"/>
              <w:start w:w="50" w:type="dxa"/>
              <w:bottom w:w="45" w:type="dxa"/>
              <w:end w:w="50" w:type="dxa"/>
            </w:tcMar>
            <w:shd w:fill="F2F6F9"/>
          </w:tcPr>
          <w:p>
            <w:pPr>
              <w:spacing w:after="0"/>
              <w:jc w:val="left"/>
            </w:pPr>
            <w:r/>
            <w:r>
              <w:rPr>
                <w:rFonts w:ascii="Times New Roman" w:hAnsi="Times New Roman"/>
                <w:b w:val="0"/>
                <w:color w:val="1F2937"/>
                <w:sz w:val="14"/>
              </w:rPr>
              <w:t>Tác giả: Cao</w:t>
              <w:br/>
              <w:t>NXB: Rất cao</w:t>
              <w:br/>
              <w:t>Phương pháp: Cao</w:t>
              <w:br/>
              <w:t>Trích dẫn: Mới công bố</w:t>
              <w:br/>
              <w:t>Cập nhật: Rất cao</w:t>
            </w:r>
          </w:p>
        </w:tc>
        <w:tc>
          <w:tcPr>
            <w:tcW w:type="dxa" w:w="2098"/>
            <w:vAlign w:val="top"/>
            <w:tcMar>
              <w:top w:w="45" w:type="dxa"/>
              <w:start w:w="50" w:type="dxa"/>
              <w:bottom w:w="45" w:type="dxa"/>
              <w:end w:w="50" w:type="dxa"/>
            </w:tcMar>
            <w:shd w:fill="F2F6F9"/>
          </w:tcPr>
          <w:p>
            <w:pPr>
              <w:spacing w:after="0"/>
              <w:jc w:val="left"/>
            </w:pPr>
            <w:r/>
            <w:r>
              <w:rPr>
                <w:rFonts w:ascii="Times New Roman" w:hAnsi="Times New Roman"/>
                <w:b w:val="0"/>
                <w:color w:val="1F2937"/>
                <w:sz w:val="14"/>
              </w:rPr>
              <w:t>Mẫu chọn có chủ đích tại một doanh nghiệp; nghiên cứu AI nói chung, không chỉ GenAI.</w:t>
            </w:r>
          </w:p>
        </w:tc>
        <w:tc>
          <w:tcPr>
            <w:tcW w:type="dxa" w:w="794"/>
            <w:vAlign w:val="top"/>
            <w:tcMar>
              <w:top w:w="45" w:type="dxa"/>
              <w:start w:w="50" w:type="dxa"/>
              <w:bottom w:w="45" w:type="dxa"/>
              <w:end w:w="50" w:type="dxa"/>
            </w:tcMar>
            <w:shd w:fill="F2F6F9"/>
          </w:tcPr>
          <w:p>
            <w:pPr>
              <w:spacing w:after="0"/>
              <w:jc w:val="center"/>
            </w:pPr>
            <w:r/>
            <w:r>
              <w:rPr>
                <w:rFonts w:ascii="Times New Roman" w:hAnsi="Times New Roman"/>
                <w:b/>
                <w:color w:val="1F2937"/>
                <w:sz w:val="14"/>
              </w:rPr>
              <w:t>4,4/5</w:t>
            </w:r>
          </w:p>
        </w:tc>
      </w:tr>
      <w:tr>
        <w:tc>
          <w:tcPr>
            <w:tcW w:type="dxa" w:w="397"/>
            <w:vAlign w:val="top"/>
            <w:tcMar>
              <w:top w:w="45" w:type="dxa"/>
              <w:start w:w="50" w:type="dxa"/>
              <w:bottom w:w="45" w:type="dxa"/>
              <w:end w:w="50" w:type="dxa"/>
            </w:tcMar>
          </w:tcPr>
          <w:p>
            <w:pPr>
              <w:spacing w:after="0"/>
              <w:jc w:val="center"/>
            </w:pPr>
            <w:r/>
            <w:r>
              <w:rPr>
                <w:rFonts w:ascii="Times New Roman" w:hAnsi="Times New Roman"/>
                <w:b/>
                <w:color w:val="1F2937"/>
                <w:sz w:val="14"/>
              </w:rPr>
              <w:t>5</w:t>
            </w:r>
          </w:p>
        </w:tc>
        <w:tc>
          <w:tcPr>
            <w:tcW w:type="dxa" w:w="2381"/>
            <w:vAlign w:val="top"/>
            <w:tcMar>
              <w:top w:w="45" w:type="dxa"/>
              <w:start w:w="50" w:type="dxa"/>
              <w:bottom w:w="45" w:type="dxa"/>
              <w:end w:w="50" w:type="dxa"/>
            </w:tcMar>
          </w:tcPr>
          <w:p>
            <w:pPr>
              <w:spacing w:after="0"/>
              <w:jc w:val="left"/>
            </w:pPr>
            <w:r/>
            <w:r>
              <w:rPr>
                <w:rFonts w:ascii="Times New Roman" w:hAnsi="Times New Roman"/>
                <w:b w:val="0"/>
                <w:color w:val="1F2937"/>
                <w:sz w:val="14"/>
              </w:rPr>
              <w:t>Salari et al. (2025)</w:t>
              <w:br/>
              <w:t>Bài báo khoa học – Computers in Human Behavior Reports</w:t>
            </w:r>
          </w:p>
        </w:tc>
        <w:tc>
          <w:tcPr>
            <w:tcW w:type="dxa" w:w="2891"/>
            <w:vAlign w:val="top"/>
            <w:tcMar>
              <w:top w:w="45" w:type="dxa"/>
              <w:start w:w="50" w:type="dxa"/>
              <w:bottom w:w="45" w:type="dxa"/>
              <w:end w:w="50" w:type="dxa"/>
            </w:tcMar>
          </w:tcPr>
          <w:p>
            <w:pPr>
              <w:spacing w:after="0"/>
              <w:jc w:val="left"/>
            </w:pPr>
            <w:r/>
            <w:r>
              <w:rPr>
                <w:rFonts w:ascii="Times New Roman" w:hAnsi="Times New Roman"/>
                <w:b w:val="0"/>
                <w:color w:val="1F2937"/>
                <w:sz w:val="14"/>
              </w:rPr>
              <w:t>Systematic review theo PRISMA; tìm kiếm sáu cơ sở dữ liệu và chọn 14 nghiên cứu về GenAI và tương lai thị trường lao động.</w:t>
            </w:r>
          </w:p>
        </w:tc>
        <w:tc>
          <w:tcPr>
            <w:tcW w:type="dxa" w:w="2948"/>
            <w:vAlign w:val="top"/>
            <w:tcMar>
              <w:top w:w="45" w:type="dxa"/>
              <w:start w:w="50" w:type="dxa"/>
              <w:bottom w:w="45" w:type="dxa"/>
              <w:end w:w="50" w:type="dxa"/>
            </w:tcMar>
          </w:tcPr>
          <w:p>
            <w:pPr>
              <w:spacing w:after="0"/>
              <w:jc w:val="left"/>
            </w:pPr>
            <w:r/>
            <w:r>
              <w:rPr>
                <w:rFonts w:ascii="Times New Roman" w:hAnsi="Times New Roman"/>
                <w:b w:val="0"/>
                <w:color w:val="1F2937"/>
                <w:sz w:val="14"/>
              </w:rPr>
              <w:t>GenAI có thể tăng hiệu quả, giảm chi phí và thời gian, đồng thời tạo vai trò mới nhưng làm giảm cơ hội ở một số nhóm nhiệm vụ.</w:t>
            </w:r>
          </w:p>
        </w:tc>
        <w:tc>
          <w:tcPr>
            <w:tcW w:type="dxa" w:w="2381"/>
            <w:vAlign w:val="top"/>
            <w:tcMar>
              <w:top w:w="45" w:type="dxa"/>
              <w:start w:w="50" w:type="dxa"/>
              <w:bottom w:w="45" w:type="dxa"/>
              <w:end w:w="50" w:type="dxa"/>
            </w:tcMar>
          </w:tcPr>
          <w:p>
            <w:pPr>
              <w:spacing w:after="0"/>
              <w:jc w:val="left"/>
            </w:pPr>
            <w:r/>
            <w:r>
              <w:rPr>
                <w:rFonts w:ascii="Times New Roman" w:hAnsi="Times New Roman"/>
                <w:b w:val="0"/>
                <w:color w:val="1F2937"/>
                <w:sz w:val="14"/>
              </w:rPr>
              <w:t>Tác giả: Cao</w:t>
              <w:br/>
              <w:t>NXB: Rất cao</w:t>
              <w:br/>
              <w:t>Phương pháp: Rất cao</w:t>
              <w:br/>
              <w:t>Trích dẫn: Mới công bố</w:t>
              <w:br/>
              <w:t>Cập nhật: Rất cao</w:t>
            </w:r>
          </w:p>
        </w:tc>
        <w:tc>
          <w:tcPr>
            <w:tcW w:type="dxa" w:w="2098"/>
            <w:vAlign w:val="top"/>
            <w:tcMar>
              <w:top w:w="45" w:type="dxa"/>
              <w:start w:w="50" w:type="dxa"/>
              <w:bottom w:w="45" w:type="dxa"/>
              <w:end w:w="50" w:type="dxa"/>
            </w:tcMar>
          </w:tcPr>
          <w:p>
            <w:pPr>
              <w:spacing w:after="0"/>
              <w:jc w:val="left"/>
            </w:pPr>
            <w:r/>
            <w:r>
              <w:rPr>
                <w:rFonts w:ascii="Times New Roman" w:hAnsi="Times New Roman"/>
                <w:b w:val="0"/>
                <w:color w:val="1F2937"/>
                <w:sz w:val="14"/>
              </w:rPr>
              <w:t>Chỉ tổng hợp 14 nghiên cứu; bằng chứng dài hạn về thị trường lao động còn hạn chế.</w:t>
            </w:r>
          </w:p>
        </w:tc>
        <w:tc>
          <w:tcPr>
            <w:tcW w:type="dxa" w:w="794"/>
            <w:vAlign w:val="top"/>
            <w:tcMar>
              <w:top w:w="45" w:type="dxa"/>
              <w:start w:w="50" w:type="dxa"/>
              <w:bottom w:w="45" w:type="dxa"/>
              <w:end w:w="50" w:type="dxa"/>
            </w:tcMar>
          </w:tcPr>
          <w:p>
            <w:pPr>
              <w:spacing w:after="0"/>
              <w:jc w:val="center"/>
            </w:pPr>
            <w:r/>
            <w:r>
              <w:rPr>
                <w:rFonts w:ascii="Times New Roman" w:hAnsi="Times New Roman"/>
                <w:b/>
                <w:color w:val="1F2937"/>
                <w:sz w:val="14"/>
              </w:rPr>
              <w:t>4,7/5</w:t>
            </w:r>
          </w:p>
        </w:tc>
      </w:tr>
      <w:tr>
        <w:tc>
          <w:tcPr>
            <w:tcW w:type="dxa" w:w="397"/>
            <w:vAlign w:val="top"/>
            <w:tcMar>
              <w:top w:w="45" w:type="dxa"/>
              <w:start w:w="50" w:type="dxa"/>
              <w:bottom w:w="45" w:type="dxa"/>
              <w:end w:w="50" w:type="dxa"/>
            </w:tcMar>
            <w:shd w:fill="F2F6F9"/>
          </w:tcPr>
          <w:p>
            <w:pPr>
              <w:spacing w:after="0"/>
              <w:jc w:val="center"/>
            </w:pPr>
            <w:r/>
            <w:r>
              <w:rPr>
                <w:rFonts w:ascii="Times New Roman" w:hAnsi="Times New Roman"/>
                <w:b/>
                <w:color w:val="1F2937"/>
                <w:sz w:val="14"/>
              </w:rPr>
              <w:t>6</w:t>
            </w:r>
          </w:p>
        </w:tc>
        <w:tc>
          <w:tcPr>
            <w:tcW w:type="dxa" w:w="2381"/>
            <w:vAlign w:val="top"/>
            <w:tcMar>
              <w:top w:w="45" w:type="dxa"/>
              <w:start w:w="50" w:type="dxa"/>
              <w:bottom w:w="45" w:type="dxa"/>
              <w:end w:w="50" w:type="dxa"/>
            </w:tcMar>
            <w:shd w:fill="F2F6F9"/>
          </w:tcPr>
          <w:p>
            <w:pPr>
              <w:spacing w:after="0"/>
              <w:jc w:val="left"/>
            </w:pPr>
            <w:r/>
            <w:r>
              <w:rPr>
                <w:rFonts w:ascii="Times New Roman" w:hAnsi="Times New Roman"/>
                <w:b w:val="0"/>
                <w:color w:val="1F2937"/>
                <w:sz w:val="14"/>
              </w:rPr>
              <w:t>Teutloff et al. (2025)</w:t>
              <w:br/>
              <w:t>Bài báo khoa học – Journal of Economic Behavior &amp; Organization</w:t>
            </w:r>
          </w:p>
        </w:tc>
        <w:tc>
          <w:tcPr>
            <w:tcW w:type="dxa" w:w="2891"/>
            <w:vAlign w:val="top"/>
            <w:tcMar>
              <w:top w:w="45" w:type="dxa"/>
              <w:start w:w="50" w:type="dxa"/>
              <w:bottom w:w="45" w:type="dxa"/>
              <w:end w:w="50" w:type="dxa"/>
            </w:tcMar>
            <w:shd w:fill="F2F6F9"/>
          </w:tcPr>
          <w:p>
            <w:pPr>
              <w:spacing w:after="0"/>
              <w:jc w:val="left"/>
            </w:pPr>
            <w:r/>
            <w:r>
              <w:rPr>
                <w:rFonts w:ascii="Times New Roman" w:hAnsi="Times New Roman"/>
                <w:b w:val="0"/>
                <w:color w:val="1F2937"/>
                <w:sz w:val="14"/>
              </w:rPr>
              <w:t>Phân tích dữ liệu tin tuyển dụng freelance; phân cụm 116 nhóm kỹ năng và xây dựng kịch bản đối chứng.</w:t>
            </w:r>
          </w:p>
        </w:tc>
        <w:tc>
          <w:tcPr>
            <w:tcW w:type="dxa" w:w="2948"/>
            <w:vAlign w:val="top"/>
            <w:tcMar>
              <w:top w:w="45" w:type="dxa"/>
              <w:start w:w="50" w:type="dxa"/>
              <w:bottom w:w="45" w:type="dxa"/>
              <w:end w:w="50" w:type="dxa"/>
            </w:tcMar>
            <w:shd w:fill="F2F6F9"/>
          </w:tcPr>
          <w:p>
            <w:pPr>
              <w:spacing w:after="0"/>
              <w:jc w:val="left"/>
            </w:pPr>
            <w:r/>
            <w:r>
              <w:rPr>
                <w:rFonts w:ascii="Times New Roman" w:hAnsi="Times New Roman"/>
                <w:b w:val="0"/>
                <w:color w:val="1F2937"/>
                <w:sz w:val="14"/>
              </w:rPr>
              <w:t>Nhu cầu kỹ năng có thể bị GenAI thay thế giảm 20–50%; nhu cầu một số kỹ năng bổ trợ AI tăng, nhưng tổng nhu cầu freelance không giảm.</w:t>
            </w:r>
          </w:p>
        </w:tc>
        <w:tc>
          <w:tcPr>
            <w:tcW w:type="dxa" w:w="2381"/>
            <w:vAlign w:val="top"/>
            <w:tcMar>
              <w:top w:w="45" w:type="dxa"/>
              <w:start w:w="50" w:type="dxa"/>
              <w:bottom w:w="45" w:type="dxa"/>
              <w:end w:w="50" w:type="dxa"/>
            </w:tcMar>
            <w:shd w:fill="F2F6F9"/>
          </w:tcPr>
          <w:p>
            <w:pPr>
              <w:spacing w:after="0"/>
              <w:jc w:val="left"/>
            </w:pPr>
            <w:r/>
            <w:r>
              <w:rPr>
                <w:rFonts w:ascii="Times New Roman" w:hAnsi="Times New Roman"/>
                <w:b w:val="0"/>
                <w:color w:val="1F2937"/>
                <w:sz w:val="14"/>
              </w:rPr>
              <w:t>Tác giả: Cao</w:t>
              <w:br/>
              <w:t>NXB: Rất cao</w:t>
              <w:br/>
              <w:t>Phương pháp: Cao</w:t>
              <w:br/>
              <w:t>Trích dẫn: Khá</w:t>
              <w:br/>
              <w:t>Cập nhật: Rất cao</w:t>
            </w:r>
          </w:p>
        </w:tc>
        <w:tc>
          <w:tcPr>
            <w:tcW w:type="dxa" w:w="2098"/>
            <w:vAlign w:val="top"/>
            <w:tcMar>
              <w:top w:w="45" w:type="dxa"/>
              <w:start w:w="50" w:type="dxa"/>
              <w:bottom w:w="45" w:type="dxa"/>
              <w:end w:w="50" w:type="dxa"/>
            </w:tcMar>
            <w:shd w:fill="F2F6F9"/>
          </w:tcPr>
          <w:p>
            <w:pPr>
              <w:spacing w:after="0"/>
              <w:jc w:val="left"/>
            </w:pPr>
            <w:r/>
            <w:r>
              <w:rPr>
                <w:rFonts w:ascii="Times New Roman" w:hAnsi="Times New Roman"/>
                <w:b w:val="0"/>
                <w:color w:val="1F2937"/>
                <w:sz w:val="14"/>
              </w:rPr>
              <w:t>Đo nhu cầu lao động, không đo trực tiếp năng suất từng người.</w:t>
            </w:r>
          </w:p>
        </w:tc>
        <w:tc>
          <w:tcPr>
            <w:tcW w:type="dxa" w:w="794"/>
            <w:vAlign w:val="top"/>
            <w:tcMar>
              <w:top w:w="45" w:type="dxa"/>
              <w:start w:w="50" w:type="dxa"/>
              <w:bottom w:w="45" w:type="dxa"/>
              <w:end w:w="50" w:type="dxa"/>
            </w:tcMar>
            <w:shd w:fill="F2F6F9"/>
          </w:tcPr>
          <w:p>
            <w:pPr>
              <w:spacing w:after="0"/>
              <w:jc w:val="center"/>
            </w:pPr>
            <w:r/>
            <w:r>
              <w:rPr>
                <w:rFonts w:ascii="Times New Roman" w:hAnsi="Times New Roman"/>
                <w:b/>
                <w:color w:val="1F2937"/>
                <w:sz w:val="14"/>
              </w:rPr>
              <w:t>4,7/5</w:t>
            </w:r>
          </w:p>
        </w:tc>
      </w:tr>
      <w:tr>
        <w:tc>
          <w:tcPr>
            <w:tcW w:type="dxa" w:w="397"/>
            <w:vAlign w:val="top"/>
            <w:tcMar>
              <w:top w:w="45" w:type="dxa"/>
              <w:start w:w="50" w:type="dxa"/>
              <w:bottom w:w="45" w:type="dxa"/>
              <w:end w:w="50" w:type="dxa"/>
            </w:tcMar>
          </w:tcPr>
          <w:p>
            <w:pPr>
              <w:spacing w:after="0"/>
              <w:jc w:val="center"/>
            </w:pPr>
            <w:r/>
            <w:r>
              <w:rPr>
                <w:rFonts w:ascii="Times New Roman" w:hAnsi="Times New Roman"/>
                <w:b/>
                <w:color w:val="1F2937"/>
                <w:sz w:val="14"/>
              </w:rPr>
              <w:t>7</w:t>
            </w:r>
          </w:p>
        </w:tc>
        <w:tc>
          <w:tcPr>
            <w:tcW w:type="dxa" w:w="2381"/>
            <w:vAlign w:val="top"/>
            <w:tcMar>
              <w:top w:w="45" w:type="dxa"/>
              <w:start w:w="50" w:type="dxa"/>
              <w:bottom w:w="45" w:type="dxa"/>
              <w:end w:w="50" w:type="dxa"/>
            </w:tcMar>
          </w:tcPr>
          <w:p>
            <w:pPr>
              <w:spacing w:after="0"/>
              <w:jc w:val="left"/>
            </w:pPr>
            <w:r/>
            <w:r>
              <w:rPr>
                <w:rFonts w:ascii="Times New Roman" w:hAnsi="Times New Roman"/>
                <w:b w:val="0"/>
                <w:color w:val="1F2937"/>
                <w:sz w:val="14"/>
              </w:rPr>
              <w:t>Dell’Acqua et al. (2023)</w:t>
              <w:br/>
              <w:t>Working paper – Harvard Business School</w:t>
            </w:r>
          </w:p>
        </w:tc>
        <w:tc>
          <w:tcPr>
            <w:tcW w:type="dxa" w:w="2891"/>
            <w:vAlign w:val="top"/>
            <w:tcMar>
              <w:top w:w="45" w:type="dxa"/>
              <w:start w:w="50" w:type="dxa"/>
              <w:bottom w:w="45" w:type="dxa"/>
              <w:end w:w="50" w:type="dxa"/>
            </w:tcMar>
          </w:tcPr>
          <w:p>
            <w:pPr>
              <w:spacing w:after="0"/>
              <w:jc w:val="left"/>
            </w:pPr>
            <w:r/>
            <w:r>
              <w:rPr>
                <w:rFonts w:ascii="Times New Roman" w:hAnsi="Times New Roman"/>
                <w:b w:val="0"/>
                <w:color w:val="1F2937"/>
                <w:sz w:val="14"/>
              </w:rPr>
              <w:t>Thí nghiệm thực địa đăng ký trước với 758 tư vấn viên BCG, chia nhóm không AI, GPT-4 và GPT-4 kèm hướng dẫn prompt.</w:t>
            </w:r>
          </w:p>
        </w:tc>
        <w:tc>
          <w:tcPr>
            <w:tcW w:type="dxa" w:w="2948"/>
            <w:vAlign w:val="top"/>
            <w:tcMar>
              <w:top w:w="45" w:type="dxa"/>
              <w:start w:w="50" w:type="dxa"/>
              <w:bottom w:w="45" w:type="dxa"/>
              <w:end w:w="50" w:type="dxa"/>
            </w:tcMar>
          </w:tcPr>
          <w:p>
            <w:pPr>
              <w:spacing w:after="0"/>
              <w:jc w:val="left"/>
            </w:pPr>
            <w:r/>
            <w:r>
              <w:rPr>
                <w:rFonts w:ascii="Times New Roman" w:hAnsi="Times New Roman"/>
                <w:b w:val="0"/>
                <w:color w:val="1F2937"/>
                <w:sz w:val="14"/>
              </w:rPr>
              <w:t>Trong phạm vi năng lực AI: hoàn thành nhiều hơn 12,2% nhiệm vụ và nhanh hơn 25,1%; ngoài phạm vi AI, xác suất đúng giảm 19%.</w:t>
            </w:r>
          </w:p>
        </w:tc>
        <w:tc>
          <w:tcPr>
            <w:tcW w:type="dxa" w:w="2381"/>
            <w:vAlign w:val="top"/>
            <w:tcMar>
              <w:top w:w="45" w:type="dxa"/>
              <w:start w:w="50" w:type="dxa"/>
              <w:bottom w:w="45" w:type="dxa"/>
              <w:end w:w="50" w:type="dxa"/>
            </w:tcMar>
          </w:tcPr>
          <w:p>
            <w:pPr>
              <w:spacing w:after="0"/>
              <w:jc w:val="left"/>
            </w:pPr>
            <w:r/>
            <w:r>
              <w:rPr>
                <w:rFonts w:ascii="Times New Roman" w:hAnsi="Times New Roman"/>
                <w:b w:val="0"/>
                <w:color w:val="1F2937"/>
                <w:sz w:val="14"/>
              </w:rPr>
              <w:t>Tác giả: Rất cao</w:t>
              <w:br/>
              <w:t>Cơ quan: Rất cao</w:t>
              <w:br/>
              <w:t>Phương pháp: Rất cao</w:t>
              <w:br/>
              <w:t>Trích dẫn: Rất cao</w:t>
              <w:br/>
              <w:t>Cập nhật: Cao</w:t>
            </w:r>
          </w:p>
        </w:tc>
        <w:tc>
          <w:tcPr>
            <w:tcW w:type="dxa" w:w="2098"/>
            <w:vAlign w:val="top"/>
            <w:tcMar>
              <w:top w:w="45" w:type="dxa"/>
              <w:start w:w="50" w:type="dxa"/>
              <w:bottom w:w="45" w:type="dxa"/>
              <w:end w:w="50" w:type="dxa"/>
            </w:tcMar>
          </w:tcPr>
          <w:p>
            <w:pPr>
              <w:spacing w:after="0"/>
              <w:jc w:val="left"/>
            </w:pPr>
            <w:r/>
            <w:r>
              <w:rPr>
                <w:rFonts w:ascii="Times New Roman" w:hAnsi="Times New Roman"/>
                <w:b w:val="0"/>
                <w:color w:val="1F2937"/>
                <w:sz w:val="14"/>
              </w:rPr>
              <w:t>Bản được sử dụng là working paper; tập trung vào tư vấn viên của một công ty.</w:t>
            </w:r>
          </w:p>
        </w:tc>
        <w:tc>
          <w:tcPr>
            <w:tcW w:type="dxa" w:w="794"/>
            <w:vAlign w:val="top"/>
            <w:tcMar>
              <w:top w:w="45" w:type="dxa"/>
              <w:start w:w="50" w:type="dxa"/>
              <w:bottom w:w="45" w:type="dxa"/>
              <w:end w:w="50" w:type="dxa"/>
            </w:tcMar>
          </w:tcPr>
          <w:p>
            <w:pPr>
              <w:spacing w:after="0"/>
              <w:jc w:val="center"/>
            </w:pPr>
            <w:r/>
            <w:r>
              <w:rPr>
                <w:rFonts w:ascii="Times New Roman" w:hAnsi="Times New Roman"/>
                <w:b/>
                <w:color w:val="1F2937"/>
                <w:sz w:val="14"/>
              </w:rPr>
              <w:t>4,8/5</w:t>
            </w:r>
          </w:p>
        </w:tc>
      </w:tr>
      <w:tr>
        <w:tc>
          <w:tcPr>
            <w:tcW w:type="dxa" w:w="397"/>
            <w:vAlign w:val="top"/>
            <w:tcMar>
              <w:top w:w="45" w:type="dxa"/>
              <w:start w:w="50" w:type="dxa"/>
              <w:bottom w:w="45" w:type="dxa"/>
              <w:end w:w="50" w:type="dxa"/>
            </w:tcMar>
            <w:shd w:fill="F2F6F9"/>
          </w:tcPr>
          <w:p>
            <w:pPr>
              <w:spacing w:after="0"/>
              <w:jc w:val="center"/>
            </w:pPr>
            <w:r/>
            <w:r>
              <w:rPr>
                <w:rFonts w:ascii="Times New Roman" w:hAnsi="Times New Roman"/>
                <w:b/>
                <w:color w:val="1F2937"/>
                <w:sz w:val="14"/>
              </w:rPr>
              <w:t>8</w:t>
            </w:r>
          </w:p>
        </w:tc>
        <w:tc>
          <w:tcPr>
            <w:tcW w:type="dxa" w:w="2381"/>
            <w:vAlign w:val="top"/>
            <w:tcMar>
              <w:top w:w="45" w:type="dxa"/>
              <w:start w:w="50" w:type="dxa"/>
              <w:bottom w:w="45" w:type="dxa"/>
              <w:end w:w="50" w:type="dxa"/>
            </w:tcMar>
            <w:shd w:fill="F2F6F9"/>
          </w:tcPr>
          <w:p>
            <w:pPr>
              <w:spacing w:after="0"/>
              <w:jc w:val="left"/>
            </w:pPr>
            <w:r/>
            <w:r>
              <w:rPr>
                <w:rFonts w:ascii="Times New Roman" w:hAnsi="Times New Roman"/>
                <w:b w:val="0"/>
                <w:color w:val="1F2937"/>
                <w:sz w:val="14"/>
              </w:rPr>
              <w:t>Peng et al. (2023)</w:t>
              <w:br/>
              <w:t>CSDL học thuật – arXiv</w:t>
            </w:r>
          </w:p>
        </w:tc>
        <w:tc>
          <w:tcPr>
            <w:tcW w:type="dxa" w:w="2891"/>
            <w:vAlign w:val="top"/>
            <w:tcMar>
              <w:top w:w="45" w:type="dxa"/>
              <w:start w:w="50" w:type="dxa"/>
              <w:bottom w:w="45" w:type="dxa"/>
              <w:end w:w="50" w:type="dxa"/>
            </w:tcMar>
            <w:shd w:fill="F2F6F9"/>
          </w:tcPr>
          <w:p>
            <w:pPr>
              <w:spacing w:after="0"/>
              <w:jc w:val="left"/>
            </w:pPr>
            <w:r/>
            <w:r>
              <w:rPr>
                <w:rFonts w:ascii="Times New Roman" w:hAnsi="Times New Roman"/>
                <w:b w:val="0"/>
                <w:color w:val="1F2937"/>
                <w:sz w:val="14"/>
              </w:rPr>
              <w:t>Thí nghiệm có đối chứng với lập trình viên chuyên nghiệp thực hiện cùng một nhiệm vụ xây dựng HTTP server bằng JavaScript.</w:t>
            </w:r>
          </w:p>
        </w:tc>
        <w:tc>
          <w:tcPr>
            <w:tcW w:type="dxa" w:w="2948"/>
            <w:vAlign w:val="top"/>
            <w:tcMar>
              <w:top w:w="45" w:type="dxa"/>
              <w:start w:w="50" w:type="dxa"/>
              <w:bottom w:w="45" w:type="dxa"/>
              <w:end w:w="50" w:type="dxa"/>
            </w:tcMar>
            <w:shd w:fill="F2F6F9"/>
          </w:tcPr>
          <w:p>
            <w:pPr>
              <w:spacing w:after="0"/>
              <w:jc w:val="left"/>
            </w:pPr>
            <w:r/>
            <w:r>
              <w:rPr>
                <w:rFonts w:ascii="Times New Roman" w:hAnsi="Times New Roman"/>
                <w:b w:val="0"/>
                <w:color w:val="1F2937"/>
                <w:sz w:val="14"/>
              </w:rPr>
              <w:t>Nhóm dùng GitHub Copilot hoàn thành nhiệm vụ nhanh hơn 55,8%; tác động có khác biệt theo kinh nghiệm.</w:t>
            </w:r>
          </w:p>
        </w:tc>
        <w:tc>
          <w:tcPr>
            <w:tcW w:type="dxa" w:w="2381"/>
            <w:vAlign w:val="top"/>
            <w:tcMar>
              <w:top w:w="45" w:type="dxa"/>
              <w:start w:w="50" w:type="dxa"/>
              <w:bottom w:w="45" w:type="dxa"/>
              <w:end w:w="50" w:type="dxa"/>
            </w:tcMar>
            <w:shd w:fill="F2F6F9"/>
          </w:tcPr>
          <w:p>
            <w:pPr>
              <w:spacing w:after="0"/>
              <w:jc w:val="left"/>
            </w:pPr>
            <w:r/>
            <w:r>
              <w:rPr>
                <w:rFonts w:ascii="Times New Roman" w:hAnsi="Times New Roman"/>
                <w:b w:val="0"/>
                <w:color w:val="1F2937"/>
                <w:sz w:val="14"/>
              </w:rPr>
              <w:t>Tác giả: Cao</w:t>
              <w:br/>
              <w:t>CSDL: Cao</w:t>
              <w:br/>
              <w:t>Phương pháp: Cao</w:t>
              <w:br/>
              <w:t>Trích dẫn: Cao</w:t>
              <w:br/>
              <w:t>Cập nhật: Cao</w:t>
            </w:r>
          </w:p>
        </w:tc>
        <w:tc>
          <w:tcPr>
            <w:tcW w:type="dxa" w:w="2098"/>
            <w:vAlign w:val="top"/>
            <w:tcMar>
              <w:top w:w="45" w:type="dxa"/>
              <w:start w:w="50" w:type="dxa"/>
              <w:bottom w:w="45" w:type="dxa"/>
              <w:end w:w="50" w:type="dxa"/>
            </w:tcMar>
            <w:shd w:fill="F2F6F9"/>
          </w:tcPr>
          <w:p>
            <w:pPr>
              <w:spacing w:after="0"/>
              <w:jc w:val="left"/>
            </w:pPr>
            <w:r/>
            <w:r>
              <w:rPr>
                <w:rFonts w:ascii="Times New Roman" w:hAnsi="Times New Roman"/>
                <w:b w:val="0"/>
                <w:color w:val="1F2937"/>
                <w:sz w:val="14"/>
              </w:rPr>
              <w:t>Preprint chưa phản biện chính thức; chỉ kiểm tra một nhiệm vụ lập trình.</w:t>
            </w:r>
          </w:p>
        </w:tc>
        <w:tc>
          <w:tcPr>
            <w:tcW w:type="dxa" w:w="794"/>
            <w:vAlign w:val="top"/>
            <w:tcMar>
              <w:top w:w="45" w:type="dxa"/>
              <w:start w:w="50" w:type="dxa"/>
              <w:bottom w:w="45" w:type="dxa"/>
              <w:end w:w="50" w:type="dxa"/>
            </w:tcMar>
            <w:shd w:fill="F2F6F9"/>
          </w:tcPr>
          <w:p>
            <w:pPr>
              <w:spacing w:after="0"/>
              <w:jc w:val="center"/>
            </w:pPr>
            <w:r/>
            <w:r>
              <w:rPr>
                <w:rFonts w:ascii="Times New Roman" w:hAnsi="Times New Roman"/>
                <w:b/>
                <w:color w:val="1F2937"/>
                <w:sz w:val="14"/>
              </w:rPr>
              <w:t>4,3/5</w:t>
            </w:r>
          </w:p>
        </w:tc>
      </w:tr>
      <w:tr>
        <w:tc>
          <w:tcPr>
            <w:tcW w:type="dxa" w:w="397"/>
            <w:vAlign w:val="top"/>
            <w:tcMar>
              <w:top w:w="45" w:type="dxa"/>
              <w:start w:w="50" w:type="dxa"/>
              <w:bottom w:w="45" w:type="dxa"/>
              <w:end w:w="50" w:type="dxa"/>
            </w:tcMar>
          </w:tcPr>
          <w:p>
            <w:pPr>
              <w:spacing w:after="0"/>
              <w:jc w:val="center"/>
            </w:pPr>
            <w:r/>
            <w:r>
              <w:rPr>
                <w:rFonts w:ascii="Times New Roman" w:hAnsi="Times New Roman"/>
                <w:b/>
                <w:color w:val="1F2937"/>
                <w:sz w:val="14"/>
              </w:rPr>
              <w:t>9</w:t>
            </w:r>
          </w:p>
        </w:tc>
        <w:tc>
          <w:tcPr>
            <w:tcW w:type="dxa" w:w="2381"/>
            <w:vAlign w:val="top"/>
            <w:tcMar>
              <w:top w:w="45" w:type="dxa"/>
              <w:start w:w="50" w:type="dxa"/>
              <w:bottom w:w="45" w:type="dxa"/>
              <w:end w:w="50" w:type="dxa"/>
            </w:tcMar>
          </w:tcPr>
          <w:p>
            <w:pPr>
              <w:spacing w:after="0"/>
              <w:jc w:val="left"/>
            </w:pPr>
            <w:r/>
            <w:r>
              <w:rPr>
                <w:rFonts w:ascii="Times New Roman" w:hAnsi="Times New Roman"/>
                <w:b w:val="0"/>
                <w:color w:val="1F2937"/>
                <w:sz w:val="14"/>
              </w:rPr>
              <w:t>Davenport &amp; Miller (2022)</w:t>
              <w:br/>
              <w:t>Sách chuyên khảo – MIT Press</w:t>
            </w:r>
          </w:p>
        </w:tc>
        <w:tc>
          <w:tcPr>
            <w:tcW w:type="dxa" w:w="2891"/>
            <w:vAlign w:val="top"/>
            <w:tcMar>
              <w:top w:w="45" w:type="dxa"/>
              <w:start w:w="50" w:type="dxa"/>
              <w:bottom w:w="45" w:type="dxa"/>
              <w:end w:w="50" w:type="dxa"/>
            </w:tcMar>
          </w:tcPr>
          <w:p>
            <w:pPr>
              <w:spacing w:after="0"/>
              <w:jc w:val="left"/>
            </w:pPr>
            <w:r/>
            <w:r>
              <w:rPr>
                <w:rFonts w:ascii="Times New Roman" w:hAnsi="Times New Roman"/>
                <w:b w:val="0"/>
                <w:color w:val="1F2937"/>
                <w:sz w:val="14"/>
              </w:rPr>
              <w:t>Tổng hợp 29 nghiên cứu tình huống và phỏng vấn người lao động, quản lý, nhà cung cấp công nghệ ở nhiều ngành.</w:t>
            </w:r>
          </w:p>
        </w:tc>
        <w:tc>
          <w:tcPr>
            <w:tcW w:type="dxa" w:w="2948"/>
            <w:vAlign w:val="top"/>
            <w:tcMar>
              <w:top w:w="45" w:type="dxa"/>
              <w:start w:w="50" w:type="dxa"/>
              <w:bottom w:w="45" w:type="dxa"/>
              <w:end w:w="50" w:type="dxa"/>
            </w:tcMar>
          </w:tcPr>
          <w:p>
            <w:pPr>
              <w:spacing w:after="0"/>
              <w:jc w:val="left"/>
            </w:pPr>
            <w:r/>
            <w:r>
              <w:rPr>
                <w:rFonts w:ascii="Times New Roman" w:hAnsi="Times New Roman"/>
                <w:b w:val="0"/>
                <w:color w:val="1F2937"/>
                <w:sz w:val="14"/>
              </w:rPr>
              <w:t>AI thường thay đổi và hỗ trợ từng nhiệm vụ hơn là thay thế toàn bộ nghề nghiệp; hiệu quả phụ thuộc thiết kế lại công việc và hợp tác người–máy.</w:t>
            </w:r>
          </w:p>
        </w:tc>
        <w:tc>
          <w:tcPr>
            <w:tcW w:type="dxa" w:w="2381"/>
            <w:vAlign w:val="top"/>
            <w:tcMar>
              <w:top w:w="45" w:type="dxa"/>
              <w:start w:w="50" w:type="dxa"/>
              <w:bottom w:w="45" w:type="dxa"/>
              <w:end w:w="50" w:type="dxa"/>
            </w:tcMar>
          </w:tcPr>
          <w:p>
            <w:pPr>
              <w:spacing w:after="0"/>
              <w:jc w:val="left"/>
            </w:pPr>
            <w:r/>
            <w:r>
              <w:rPr>
                <w:rFonts w:ascii="Times New Roman" w:hAnsi="Times New Roman"/>
                <w:b w:val="0"/>
                <w:color w:val="1F2937"/>
                <w:sz w:val="14"/>
              </w:rPr>
              <w:t>Tác giả: Rất cao</w:t>
              <w:br/>
              <w:t>NXB: Rất cao</w:t>
              <w:br/>
              <w:t>Phương pháp: Khá–Cao</w:t>
              <w:br/>
              <w:t>Ảnh hưởng: Cao</w:t>
              <w:br/>
              <w:t>Cập nhật: Khá</w:t>
            </w:r>
          </w:p>
        </w:tc>
        <w:tc>
          <w:tcPr>
            <w:tcW w:type="dxa" w:w="2098"/>
            <w:vAlign w:val="top"/>
            <w:tcMar>
              <w:top w:w="45" w:type="dxa"/>
              <w:start w:w="50" w:type="dxa"/>
              <w:bottom w:w="45" w:type="dxa"/>
              <w:end w:w="50" w:type="dxa"/>
            </w:tcMar>
          </w:tcPr>
          <w:p>
            <w:pPr>
              <w:spacing w:after="0"/>
              <w:jc w:val="left"/>
            </w:pPr>
            <w:r/>
            <w:r>
              <w:rPr>
                <w:rFonts w:ascii="Times New Roman" w:hAnsi="Times New Roman"/>
                <w:b w:val="0"/>
                <w:color w:val="1F2937"/>
                <w:sz w:val="14"/>
              </w:rPr>
              <w:t>Nhiều trường hợp nói về AI nói chung, không chỉ GenAI; không phải nghiên cứu thực nghiệm nhân quả.</w:t>
            </w:r>
          </w:p>
        </w:tc>
        <w:tc>
          <w:tcPr>
            <w:tcW w:type="dxa" w:w="794"/>
            <w:vAlign w:val="top"/>
            <w:tcMar>
              <w:top w:w="45" w:type="dxa"/>
              <w:start w:w="50" w:type="dxa"/>
              <w:bottom w:w="45" w:type="dxa"/>
              <w:end w:w="50" w:type="dxa"/>
            </w:tcMar>
          </w:tcPr>
          <w:p>
            <w:pPr>
              <w:spacing w:after="0"/>
              <w:jc w:val="center"/>
            </w:pPr>
            <w:r/>
            <w:r>
              <w:rPr>
                <w:rFonts w:ascii="Times New Roman" w:hAnsi="Times New Roman"/>
                <w:b/>
                <w:color w:val="1F2937"/>
                <w:sz w:val="14"/>
              </w:rPr>
              <w:t>4,3/5</w:t>
            </w:r>
          </w:p>
        </w:tc>
      </w:tr>
      <w:tr>
        <w:tc>
          <w:tcPr>
            <w:tcW w:type="dxa" w:w="397"/>
            <w:vAlign w:val="top"/>
            <w:tcMar>
              <w:top w:w="45" w:type="dxa"/>
              <w:start w:w="50" w:type="dxa"/>
              <w:bottom w:w="45" w:type="dxa"/>
              <w:end w:w="50" w:type="dxa"/>
            </w:tcMar>
            <w:shd w:fill="F2F6F9"/>
          </w:tcPr>
          <w:p>
            <w:pPr>
              <w:spacing w:after="0"/>
              <w:jc w:val="center"/>
            </w:pPr>
            <w:r/>
            <w:r>
              <w:rPr>
                <w:rFonts w:ascii="Times New Roman" w:hAnsi="Times New Roman"/>
                <w:b/>
                <w:color w:val="1F2937"/>
                <w:sz w:val="14"/>
              </w:rPr>
              <w:t>10</w:t>
            </w:r>
          </w:p>
        </w:tc>
        <w:tc>
          <w:tcPr>
            <w:tcW w:type="dxa" w:w="2381"/>
            <w:vAlign w:val="top"/>
            <w:tcMar>
              <w:top w:w="45" w:type="dxa"/>
              <w:start w:w="50" w:type="dxa"/>
              <w:bottom w:w="45" w:type="dxa"/>
              <w:end w:w="50" w:type="dxa"/>
            </w:tcMar>
            <w:shd w:fill="F2F6F9"/>
          </w:tcPr>
          <w:p>
            <w:pPr>
              <w:spacing w:after="0"/>
              <w:jc w:val="left"/>
            </w:pPr>
            <w:r/>
            <w:r>
              <w:rPr>
                <w:rFonts w:ascii="Times New Roman" w:hAnsi="Times New Roman"/>
                <w:b w:val="0"/>
                <w:color w:val="1F2937"/>
                <w:sz w:val="14"/>
              </w:rPr>
              <w:t>Calvino, Reijerink &amp; Samek (2025)</w:t>
              <w:br/>
              <w:t>Nguồn mở chính thức – OECD</w:t>
            </w:r>
          </w:p>
        </w:tc>
        <w:tc>
          <w:tcPr>
            <w:tcW w:type="dxa" w:w="2891"/>
            <w:vAlign w:val="top"/>
            <w:tcMar>
              <w:top w:w="45" w:type="dxa"/>
              <w:start w:w="50" w:type="dxa"/>
              <w:bottom w:w="45" w:type="dxa"/>
              <w:end w:w="50" w:type="dxa"/>
            </w:tcMar>
            <w:shd w:fill="F2F6F9"/>
          </w:tcPr>
          <w:p>
            <w:pPr>
              <w:spacing w:after="0"/>
              <w:jc w:val="left"/>
            </w:pPr>
            <w:r/>
            <w:r>
              <w:rPr>
                <w:rFonts w:ascii="Times New Roman" w:hAnsi="Times New Roman"/>
                <w:b w:val="0"/>
                <w:color w:val="1F2937"/>
                <w:sz w:val="14"/>
              </w:rPr>
              <w:t>Tổng quan có hệ thống các nghiên cứu thực nghiệm về GenAI, năng suất, đổi mới và khởi nghiệp.</w:t>
            </w:r>
          </w:p>
        </w:tc>
        <w:tc>
          <w:tcPr>
            <w:tcW w:type="dxa" w:w="2948"/>
            <w:vAlign w:val="top"/>
            <w:tcMar>
              <w:top w:w="45" w:type="dxa"/>
              <w:start w:w="50" w:type="dxa"/>
              <w:bottom w:w="45" w:type="dxa"/>
              <w:end w:w="50" w:type="dxa"/>
            </w:tcMar>
            <w:shd w:fill="F2F6F9"/>
          </w:tcPr>
          <w:p>
            <w:pPr>
              <w:spacing w:after="0"/>
              <w:jc w:val="left"/>
            </w:pPr>
            <w:r/>
            <w:r>
              <w:rPr>
                <w:rFonts w:ascii="Times New Roman" w:hAnsi="Times New Roman"/>
                <w:b w:val="0"/>
                <w:color w:val="1F2937"/>
                <w:sz w:val="14"/>
              </w:rPr>
              <w:t>GenAI cải thiện hiệu quả ở viết, tóm tắt, dịch và lập trình; mức lợi ích phụ thuộc nhiệm vụ, kinh nghiệm và khả năng đánh giá đầu ra.</w:t>
            </w:r>
          </w:p>
        </w:tc>
        <w:tc>
          <w:tcPr>
            <w:tcW w:type="dxa" w:w="2381"/>
            <w:vAlign w:val="top"/>
            <w:tcMar>
              <w:top w:w="45" w:type="dxa"/>
              <w:start w:w="50" w:type="dxa"/>
              <w:bottom w:w="45" w:type="dxa"/>
              <w:end w:w="50" w:type="dxa"/>
            </w:tcMar>
            <w:shd w:fill="F2F6F9"/>
          </w:tcPr>
          <w:p>
            <w:pPr>
              <w:spacing w:after="0"/>
              <w:jc w:val="left"/>
            </w:pPr>
            <w:r/>
            <w:r>
              <w:rPr>
                <w:rFonts w:ascii="Times New Roman" w:hAnsi="Times New Roman"/>
                <w:b w:val="0"/>
                <w:color w:val="1F2937"/>
                <w:sz w:val="14"/>
              </w:rPr>
              <w:t>Tác giả: Rất cao</w:t>
              <w:br/>
              <w:t>Cơ quan: Rất cao</w:t>
              <w:br/>
              <w:t>Phương pháp: Rất cao</w:t>
              <w:br/>
              <w:t>Ảnh hưởng: Cao</w:t>
              <w:br/>
              <w:t>Cập nhật: Rất cao</w:t>
            </w:r>
          </w:p>
        </w:tc>
        <w:tc>
          <w:tcPr>
            <w:tcW w:type="dxa" w:w="2098"/>
            <w:vAlign w:val="top"/>
            <w:tcMar>
              <w:top w:w="45" w:type="dxa"/>
              <w:start w:w="50" w:type="dxa"/>
              <w:bottom w:w="45" w:type="dxa"/>
              <w:end w:w="50" w:type="dxa"/>
            </w:tcMar>
            <w:shd w:fill="F2F6F9"/>
          </w:tcPr>
          <w:p>
            <w:pPr>
              <w:spacing w:after="0"/>
              <w:jc w:val="left"/>
            </w:pPr>
            <w:r/>
            <w:r>
              <w:rPr>
                <w:rFonts w:ascii="Times New Roman" w:hAnsi="Times New Roman"/>
                <w:b w:val="0"/>
                <w:color w:val="1F2937"/>
                <w:sz w:val="14"/>
              </w:rPr>
              <w:t>Là nghiên cứu tổng quan; hiệu ứng dài hạn và tác động cấp doanh nghiệp vẫn thiếu bằng chứng.</w:t>
            </w:r>
          </w:p>
        </w:tc>
        <w:tc>
          <w:tcPr>
            <w:tcW w:type="dxa" w:w="794"/>
            <w:vAlign w:val="top"/>
            <w:tcMar>
              <w:top w:w="45" w:type="dxa"/>
              <w:start w:w="50" w:type="dxa"/>
              <w:bottom w:w="45" w:type="dxa"/>
              <w:end w:w="50" w:type="dxa"/>
            </w:tcMar>
            <w:shd w:fill="F2F6F9"/>
          </w:tcPr>
          <w:p>
            <w:pPr>
              <w:spacing w:after="0"/>
              <w:jc w:val="center"/>
            </w:pPr>
            <w:r/>
            <w:r>
              <w:rPr>
                <w:rFonts w:ascii="Times New Roman" w:hAnsi="Times New Roman"/>
                <w:b/>
                <w:color w:val="1F2937"/>
                <w:sz w:val="14"/>
              </w:rPr>
              <w:t>4,8/5</w:t>
            </w:r>
          </w:p>
        </w:tc>
      </w:tr>
    </w:tbl>
    <w:p>
      <w:pPr>
        <w:sectPr>
          <w:pgSz w:w="16838" w:h="11906" w:orient="landscape"/>
          <w:pgMar w:top="680" w:right="680" w:bottom="680" w:left="680" w:header="720" w:footer="720" w:gutter="0"/>
          <w:cols w:space="720"/>
          <w:docGrid w:linePitch="360"/>
        </w:sectPr>
      </w:pPr>
    </w:p>
    <w:p>
      <w:pPr>
        <w:spacing w:before="200" w:after="100"/>
      </w:pPr>
      <w:r>
        <w:rPr>
          <w:rFonts w:ascii="Arial" w:hAnsi="Arial"/>
          <w:b/>
          <w:color w:val="1F4E79"/>
          <w:sz w:val="30"/>
        </w:rPr>
        <w:t>IV. PHÂN TÍCH VÀ TỔNG HỢP KẾT QUẢ</w:t>
      </w:r>
    </w:p>
    <w:p>
      <w:pPr>
        <w:spacing w:before="120" w:after="100"/>
      </w:pPr>
      <w:r>
        <w:rPr>
          <w:rFonts w:ascii="Arial" w:hAnsi="Arial"/>
          <w:b/>
          <w:color w:val="1F4E79"/>
          <w:sz w:val="24"/>
        </w:rPr>
        <w:t>1. AI tạo sinh cải thiện năng suất rõ nhất ở tác vụ có cấu trúc</w:t>
      </w:r>
    </w:p>
    <w:p>
      <w:pPr>
        <w:spacing w:after="120" w:line="276" w:lineRule="auto"/>
        <w:jc w:val="both"/>
      </w:pPr>
      <w:r>
        <w:rPr>
          <w:rFonts w:ascii="Times New Roman" w:hAnsi="Times New Roman"/>
          <w:b w:val="0"/>
          <w:i w:val="0"/>
          <w:color w:val="1F2937"/>
          <w:sz w:val="22"/>
        </w:rPr>
        <w:t>Các nghiên cứu thực nghiệm cho thấy AI tạo sinh có thể giảm thời gian và tăng sản lượng ở nhiều nhiệm vụ dịch vụ dựa trên tri thức. Noy và Zhang (2023) ghi nhận hiệu quả trong viết chuyên môn; Brynjolfsson, Li và Raymond (2025) đo được mức tăng năng suất trung bình 15% ở hỗ trợ khách hàng; Dell’Acqua et al. (2023) cho thấy tư vấn viên hoàn thành nhiều nhiệm vụ hơn và nhanh hơn khi công việc nằm trong phạm vi năng lực của AI. Với lập trình, Peng et al. (2023) ghi nhận nhóm dùng GitHub Copilot hoàn thành nhiệm vụ thử nghiệm nhanh hơn 55,8%.</w:t>
      </w:r>
    </w:p>
    <w:p>
      <w:pPr>
        <w:spacing w:before="120" w:after="100"/>
      </w:pPr>
      <w:r>
        <w:rPr>
          <w:rFonts w:ascii="Arial" w:hAnsi="Arial"/>
          <w:b/>
          <w:color w:val="1F4E79"/>
          <w:sz w:val="24"/>
        </w:rPr>
        <w:t>2. Lợi ích không phân bố đồng đều giữa người lao động và tổ chức</w:t>
      </w:r>
    </w:p>
    <w:p>
      <w:pPr>
        <w:spacing w:after="120" w:line="276" w:lineRule="auto"/>
        <w:jc w:val="both"/>
      </w:pPr>
      <w:r>
        <w:rPr>
          <w:rFonts w:ascii="Times New Roman" w:hAnsi="Times New Roman"/>
          <w:b w:val="0"/>
          <w:i w:val="0"/>
          <w:color w:val="1F2937"/>
          <w:sz w:val="22"/>
        </w:rPr>
        <w:t>Nhân viên ít kinh nghiệm thường nhận được lợi ích lớn hơn vì AI giúp tiếp cận các mẫu thực hành tốt và giảm thời gian tìm kiếm thông tin. Tuy nhiên, mức tăng năng suất cấp cá nhân không tự động chuyển thành hiệu quả cấp doanh nghiệp. Bughin (2024) cho thấy dữ liệu, nhân lực AI và năng lực quản trị là các điều kiện bổ trợ quan trọng; Kassa và Worku (2025) cũng xác định năng suất nhân viên là biến trung gian một phần giữa AI và hiệu quả tổ chức. Sách của Davenport và Miller (2022) nhấn mạnh thêm vai trò của thiết kế lại quy trình và phân công hợp lý giữa người và máy.</w:t>
      </w:r>
    </w:p>
    <w:p>
      <w:pPr>
        <w:spacing w:before="120" w:after="100"/>
      </w:pPr>
      <w:r>
        <w:rPr>
          <w:rFonts w:ascii="Arial" w:hAnsi="Arial"/>
          <w:b/>
          <w:color w:val="1F4E79"/>
          <w:sz w:val="24"/>
        </w:rPr>
        <w:t>3. AI vừa bổ trợ vừa có khả năng thay thế một số nhiệm vụ dịch vụ</w:t>
      </w:r>
    </w:p>
    <w:p>
      <w:pPr>
        <w:spacing w:after="120" w:line="276" w:lineRule="auto"/>
        <w:jc w:val="both"/>
      </w:pPr>
      <w:r>
        <w:rPr>
          <w:rFonts w:ascii="Times New Roman" w:hAnsi="Times New Roman"/>
          <w:b w:val="0"/>
          <w:i w:val="0"/>
          <w:color w:val="1F2937"/>
          <w:sz w:val="22"/>
        </w:rPr>
        <w:t>Teutloff et al. (2025) phát hiện nhu cầu đối với các nhóm kỹ năng freelance dễ bị thay thế, như một số dạng viết và dịch thuật, giảm đáng kể sau khi ChatGPT xuất hiện. Systematic review của Salari et al. (2025) cũng cho thấy GenAI vừa có khả năng tạo vai trò mới vừa làm giảm cơ hội ở một số nhóm nhiệm vụ. Điều này cho thấy thay đổi chủ yếu diễn ra ở cấu trúc nhiệm vụ và yêu cầu kỹ năng, thay vì mọi nghề nghiệp đều bị thay thế đồng loạt.</w:t>
      </w:r>
    </w:p>
    <w:p>
      <w:pPr>
        <w:spacing w:before="120" w:after="100"/>
      </w:pPr>
      <w:r>
        <w:rPr>
          <w:rFonts w:ascii="Arial" w:hAnsi="Arial"/>
          <w:b/>
          <w:color w:val="1F4E79"/>
          <w:sz w:val="24"/>
        </w:rPr>
        <w:t>4. Chất lượng và khả năng kiểm chứng là điều kiện bắt buộc</w:t>
      </w:r>
    </w:p>
    <w:p>
      <w:pPr>
        <w:spacing w:after="120" w:line="276" w:lineRule="auto"/>
        <w:jc w:val="both"/>
      </w:pPr>
      <w:r>
        <w:rPr>
          <w:rFonts w:ascii="Times New Roman" w:hAnsi="Times New Roman"/>
          <w:b w:val="0"/>
          <w:i w:val="0"/>
          <w:color w:val="1F2937"/>
          <w:sz w:val="22"/>
        </w:rPr>
        <w:t>AI có thể làm giảm hiệu quả khi được sử dụng ngoài phạm vi năng lực hoặc khi người dùng phụ thuộc quá mức vào đầu ra. Trong thí nghiệm tư vấn, người dùng AI có xác suất đưa ra đáp án đúng thấp hơn ở nhiệm vụ nằm ngoài “biên năng lực” của hệ thống (Dell’Acqua et al., 2023). Vì vậy, năng suất cần được đánh giá đồng thời theo tốc độ, chất lượng, độ chính xác và chi phí kiểm tra lại.</w:t>
      </w:r>
    </w:p>
    <w:p>
      <w:pPr>
        <w:spacing w:before="200" w:after="100"/>
      </w:pPr>
      <w:r>
        <w:rPr>
          <w:rFonts w:ascii="Arial" w:hAnsi="Arial"/>
          <w:b/>
          <w:color w:val="1F4E79"/>
          <w:sz w:val="30"/>
        </w:rPr>
        <w:t>V. KẾT LUẬN VÀ KHUYẾN NGHỊ</w:t>
      </w:r>
    </w:p>
    <w:p>
      <w:pPr>
        <w:spacing w:after="120" w:line="276" w:lineRule="auto"/>
        <w:jc w:val="both"/>
      </w:pPr>
      <w:r>
        <w:rPr>
          <w:rFonts w:ascii="Times New Roman" w:hAnsi="Times New Roman"/>
          <w:b w:val="0"/>
          <w:i w:val="0"/>
          <w:color w:val="1F2937"/>
          <w:sz w:val="22"/>
        </w:rPr>
        <w:t>Bằng chứng hiện có cho thấy AI tạo sinh có tiềm năng nâng cao năng suất trong nhóm ngành dịch vụ, đặc biệt ở các tác vụ viết, chăm sóc khách hàng, tư vấn và lập trình. Tuy nhiên, tác động phụ thuộc mạnh vào loại nhiệm vụ, trình độ người dùng và năng lực triển khai của tổ chức. AI nên được xem là công cụ bổ trợ có giám sát, không phải nguồn đầu ra có thể sử dụng mà không kiểm chứng.</w:t>
      </w:r>
    </w:p>
    <w:p>
      <w:pPr>
        <w:pStyle w:val="ListBullet"/>
        <w:spacing w:after="60" w:line="264" w:lineRule="auto"/>
      </w:pPr>
      <w:r>
        <w:rPr>
          <w:rFonts w:ascii="Times New Roman" w:hAnsi="Times New Roman"/>
          <w:sz w:val="21"/>
        </w:rPr>
        <w:t>Đào tạo người lao động về prompt, đánh giá đầu ra và kiểm chứng thông tin.</w:t>
      </w:r>
    </w:p>
    <w:p>
      <w:pPr>
        <w:pStyle w:val="ListBullet"/>
        <w:spacing w:after="60" w:line="264" w:lineRule="auto"/>
      </w:pPr>
      <w:r>
        <w:rPr>
          <w:rFonts w:ascii="Times New Roman" w:hAnsi="Times New Roman"/>
          <w:sz w:val="21"/>
        </w:rPr>
        <w:t>Đo hiệu quả bằng cả tốc độ, chất lượng, mức sửa lỗi và trải nghiệm khách hàng.</w:t>
      </w:r>
    </w:p>
    <w:p>
      <w:pPr>
        <w:pStyle w:val="ListBullet"/>
        <w:spacing w:after="60" w:line="264" w:lineRule="auto"/>
      </w:pPr>
      <w:r>
        <w:rPr>
          <w:rFonts w:ascii="Times New Roman" w:hAnsi="Times New Roman"/>
          <w:sz w:val="21"/>
        </w:rPr>
        <w:t>Bắt đầu từ các tác vụ có cấu trúc rõ, sau đó mở rộng có kiểm soát.</w:t>
      </w:r>
    </w:p>
    <w:p>
      <w:pPr>
        <w:pStyle w:val="ListBullet"/>
        <w:spacing w:after="60" w:line="264" w:lineRule="auto"/>
      </w:pPr>
      <w:r>
        <w:rPr>
          <w:rFonts w:ascii="Times New Roman" w:hAnsi="Times New Roman"/>
          <w:sz w:val="21"/>
        </w:rPr>
        <w:t>Duy trì vai trò quyết định của con người đối với nội dung quan trọng và tình huống ngoại lệ.</w:t>
      </w:r>
    </w:p>
    <w:p>
      <w:pPr>
        <w:spacing w:before="200" w:after="100"/>
      </w:pPr>
      <w:r>
        <w:rPr>
          <w:rFonts w:ascii="Arial" w:hAnsi="Arial"/>
          <w:b/>
          <w:color w:val="1F4E79"/>
          <w:sz w:val="30"/>
        </w:rPr>
        <w:t>DANH MỤC TÀI LIỆU THAM KHẢO – HARVARD STYLE</w:t>
      </w:r>
    </w:p>
    <w:p>
      <w:pPr>
        <w:spacing w:after="60" w:line="276" w:lineRule="auto"/>
        <w:ind w:left="397" w:hanging="397"/>
        <w:jc w:val="both"/>
      </w:pPr>
      <w:r>
        <w:rPr>
          <w:rFonts w:ascii="Times New Roman" w:hAnsi="Times New Roman"/>
          <w:b w:val="0"/>
          <w:i w:val="0"/>
          <w:color w:val="1F2937"/>
          <w:sz w:val="18"/>
        </w:rPr>
        <w:t>Brynjolfsson, E., Li, D. and Raymond, L.R. (2025) ‘Generative AI at Work’, The Quarterly Journal of Economics, 140(2), pp. 889–942. doi: 10.1093/qje/qjae044.</w:t>
      </w:r>
    </w:p>
    <w:p>
      <w:pPr>
        <w:spacing w:after="60" w:line="276" w:lineRule="auto"/>
        <w:ind w:left="397" w:hanging="397"/>
        <w:jc w:val="both"/>
      </w:pPr>
      <w:r>
        <w:rPr>
          <w:rFonts w:ascii="Times New Roman" w:hAnsi="Times New Roman"/>
          <w:b w:val="0"/>
          <w:i w:val="0"/>
          <w:color w:val="1F2937"/>
          <w:sz w:val="18"/>
        </w:rPr>
        <w:t>Bughin, J. (2024) ‘What drives the corporate payoffs of using generative artificial intelligence?’, Structural Change and Economic Dynamics, 71, pp. 658–668. doi: 10.1016/j.strueco.2024.09.011.</w:t>
      </w:r>
    </w:p>
    <w:p>
      <w:pPr>
        <w:spacing w:after="60" w:line="276" w:lineRule="auto"/>
        <w:ind w:left="397" w:hanging="397"/>
        <w:jc w:val="both"/>
      </w:pPr>
      <w:r>
        <w:rPr>
          <w:rFonts w:ascii="Times New Roman" w:hAnsi="Times New Roman"/>
          <w:b w:val="0"/>
          <w:i w:val="0"/>
          <w:color w:val="1F2937"/>
          <w:sz w:val="18"/>
        </w:rPr>
        <w:t>Calvino, F., Reijerink, J. and Samek, L. (2025) The effects of generative AI on productivity, innovation and entrepreneurship. OECD Artificial Intelligence Papers, No. 39. Paris: OECD Publishing. doi: 10.1787/b21df222-en.</w:t>
      </w:r>
    </w:p>
    <w:p>
      <w:pPr>
        <w:spacing w:after="60" w:line="276" w:lineRule="auto"/>
        <w:ind w:left="397" w:hanging="397"/>
        <w:jc w:val="both"/>
      </w:pPr>
      <w:r>
        <w:rPr>
          <w:rFonts w:ascii="Times New Roman" w:hAnsi="Times New Roman"/>
          <w:b w:val="0"/>
          <w:i w:val="0"/>
          <w:color w:val="1F2937"/>
          <w:sz w:val="18"/>
        </w:rPr>
        <w:t>Davenport, T.H. and Miller, S.M. (2022) Working with AI: Real Stories of Human-Machine Collaboration. Cambridge, MA: The MIT Press.</w:t>
      </w:r>
    </w:p>
    <w:p>
      <w:pPr>
        <w:spacing w:after="60" w:line="276" w:lineRule="auto"/>
        <w:ind w:left="397" w:hanging="397"/>
        <w:jc w:val="both"/>
      </w:pPr>
      <w:r>
        <w:rPr>
          <w:rFonts w:ascii="Times New Roman" w:hAnsi="Times New Roman"/>
          <w:b w:val="0"/>
          <w:i w:val="0"/>
          <w:color w:val="1F2937"/>
          <w:sz w:val="18"/>
        </w:rPr>
        <w:t>Dell’Acqua, F., McFowland III, E., Mollick, E., Lifshitz-Assaf, H., Kellogg, K.C., Rajendran, S., Krayer, L., Candelon, F. and Lakhani, K.R. (2023) ‘Navigating the Jagged Technological Frontier: Field Experimental Evidence of the Effects of Artificial Intelligence on Knowledge Worker Productivity and Quality’. Harvard Business School Working Paper No. 24-013. Available at: https://www.hbs.edu/faculty/Pages/item.aspx?num=64700 (Accessed: 7 June 2026).</w:t>
      </w:r>
    </w:p>
    <w:p>
      <w:pPr>
        <w:spacing w:after="60" w:line="276" w:lineRule="auto"/>
        <w:ind w:left="397" w:hanging="397"/>
        <w:jc w:val="both"/>
      </w:pPr>
      <w:r>
        <w:rPr>
          <w:rFonts w:ascii="Times New Roman" w:hAnsi="Times New Roman"/>
          <w:b w:val="0"/>
          <w:i w:val="0"/>
          <w:color w:val="1F2937"/>
          <w:sz w:val="18"/>
        </w:rPr>
        <w:t>Kassa, B.Y. and Worku, E.K. (2025) ‘The impact of artificial intelligence on organizational performance: The mediating role of employee productivity’, Journal of Open Innovation: Technology, Market, and Complexity, 11(1), 100474. doi: 10.1016/j.joitmc.2025.100474.</w:t>
      </w:r>
    </w:p>
    <w:p>
      <w:pPr>
        <w:spacing w:after="60" w:line="276" w:lineRule="auto"/>
        <w:ind w:left="397" w:hanging="397"/>
        <w:jc w:val="both"/>
      </w:pPr>
      <w:r>
        <w:rPr>
          <w:rFonts w:ascii="Times New Roman" w:hAnsi="Times New Roman"/>
          <w:b w:val="0"/>
          <w:i w:val="0"/>
          <w:color w:val="1F2937"/>
          <w:sz w:val="18"/>
        </w:rPr>
        <w:t>Noy, S. and Zhang, W. (2023) ‘Experimental evidence on the productivity effects of generative artificial intelligence’, Science, 381(6654), pp. 187–192. doi: 10.1126/science.adh2586.</w:t>
      </w:r>
    </w:p>
    <w:p>
      <w:pPr>
        <w:spacing w:after="60" w:line="276" w:lineRule="auto"/>
        <w:ind w:left="397" w:hanging="397"/>
        <w:jc w:val="both"/>
      </w:pPr>
      <w:r>
        <w:rPr>
          <w:rFonts w:ascii="Times New Roman" w:hAnsi="Times New Roman"/>
          <w:b w:val="0"/>
          <w:i w:val="0"/>
          <w:color w:val="1F2937"/>
          <w:sz w:val="18"/>
        </w:rPr>
        <w:t>Peng, S., Kalliamvakou, E., Cihon, P. and Demirer, M. (2023) ‘The Impact of AI on Developer Productivity: Evidence from GitHub Copilot’, arXiv:2302.06590. doi: 10.48550/arXiv.2302.06590.</w:t>
      </w:r>
    </w:p>
    <w:p>
      <w:pPr>
        <w:spacing w:after="60" w:line="276" w:lineRule="auto"/>
        <w:ind w:left="397" w:hanging="397"/>
        <w:jc w:val="both"/>
      </w:pPr>
      <w:r>
        <w:rPr>
          <w:rFonts w:ascii="Times New Roman" w:hAnsi="Times New Roman"/>
          <w:b w:val="0"/>
          <w:i w:val="0"/>
          <w:color w:val="1F2937"/>
          <w:sz w:val="18"/>
        </w:rPr>
        <w:t>Salari, N., Beiromvand, M., Hosseinian-Far, A., Habibi, J., Babajani, F. and Mohammadi, M. (2025) ‘Impacts of generative artificial intelligence on the future of labor market: A systematic review’, Computers in Human Behavior Reports, 18, 100652. doi: 10.1016/j.chbr.2025.100652.</w:t>
      </w:r>
    </w:p>
    <w:p>
      <w:pPr>
        <w:spacing w:after="60" w:line="276" w:lineRule="auto"/>
        <w:ind w:left="397" w:hanging="397"/>
        <w:jc w:val="both"/>
      </w:pPr>
      <w:r>
        <w:rPr>
          <w:rFonts w:ascii="Times New Roman" w:hAnsi="Times New Roman"/>
          <w:b w:val="0"/>
          <w:i w:val="0"/>
          <w:color w:val="1F2937"/>
          <w:sz w:val="18"/>
        </w:rPr>
        <w:t>Teutloff, O., Einsiedler, J., Kässi, O., Braesemann, F., Mishkin, P. and del Rio-Chanona, R.M. (2025) ‘Winners and losers of generative AI: Early Evidence of Shifts in Freelancer Demand’, Journal of Economic Behavior &amp; Organization, 235, 106845. doi: 10.1016/j.jebo.2024.106845.</w:t>
      </w:r>
    </w:p>
    <w:sectPr w:rsidR="00FC693F" w:rsidRPr="0006063C" w:rsidSect="00034616">
      <w:pgSz w:w="11906" w:h="16838"/>
      <w:pgMar w:top="964" w:right="1020"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6"/>
      </w:rPr>
      <w:t xml:space="preserve">Nguyễn Ngọc Hiếu – 25021764  |  Bài 2  |  </w:t>
      <w:fldChar w:fldCharType="begin"/>
      <w:instrText xml:space="preserve"> PAGE </w:instrText>
      <w:fldChar w:fldCharType="end"/>
    </w:r>
    <w:r>
      <w:rPr>
        <w:rFonts w:ascii="Arial" w:hAnsi="Arial"/>
        <w:color w:val="808080"/>
        <w:sz w:val="16"/>
      </w:rPr>
      <w:t xml:space="preserve">Nguyễn Ngọc Hiếu – 25021764  |  Bài 2  |  </w:t>
      <w:fldChar w:fldCharType="begin"/>
      <w:instrText xml:space="preserve"> PAGE </w:instrText>
      <w:fldChar w:fldCharType="end"/>
    </w:r>
    <w:r>
      <w:rPr>
        <w:rFonts w:ascii="Arial" w:hAnsi="Arial"/>
        <w:color w:val="808080"/>
        <w:sz w:val="16"/>
      </w:rPr>
      <w:t xml:space="preserve">Nguyễn Ngọc Hiếu – 25021764  |  Bài 2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2 - Tìm kiếm và đánh giá thông tin học thuật</dc:title>
  <dc:subject>Tác động của AI tạo sinh đến năng suất lao động trong nhóm ngành dịch vụ</dc:subject>
  <dc:creator>Nguyễn Ngọc Hiếu</dc:creator>
  <cp:keywords/>
  <dc:description>generated by python-docx</dc:description>
  <cp:lastModifiedBy/>
  <cp:revision>1</cp:revision>
  <dcterms:created xsi:type="dcterms:W3CDTF">2013-12-23T23:15:00Z</dcterms:created>
  <dcterms:modified xsi:type="dcterms:W3CDTF">2013-12-23T23:15:00Z</dcterms:modified>
  <cp:category/>
</cp:coreProperties>
</file>