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15" w:rsidRPr="00A34646" w:rsidRDefault="004A1C15" w:rsidP="001911FD">
      <w:pPr>
        <w:shd w:val="pct20" w:color="auto" w:fill="auto"/>
        <w:overflowPunct w:val="0"/>
        <w:jc w:val="center"/>
        <w:rPr>
          <w:rFonts w:ascii="Arial" w:eastAsia="新細明體" w:hAnsi="Arial"/>
          <w:i/>
          <w:sz w:val="32"/>
          <w:szCs w:val="32"/>
        </w:rPr>
      </w:pPr>
      <w:r w:rsidRPr="00A34646">
        <w:rPr>
          <w:rFonts w:ascii="Arial" w:eastAsia="新細明體" w:hAnsi="Arial" w:hint="eastAsia"/>
          <w:i/>
          <w:sz w:val="32"/>
          <w:szCs w:val="32"/>
        </w:rPr>
        <w:t>題組十三</w:t>
      </w:r>
      <w:r w:rsidRPr="00A34646">
        <w:rPr>
          <w:rFonts w:ascii="Arial" w:eastAsia="新細明體" w:hAnsi="Arial" w:hint="eastAsia"/>
          <w:i/>
          <w:sz w:val="32"/>
          <w:szCs w:val="32"/>
        </w:rPr>
        <w:t xml:space="preserve">  </w:t>
      </w:r>
      <w:r w:rsidRPr="00A34646">
        <w:rPr>
          <w:rFonts w:ascii="Arial" w:eastAsia="新細明體" w:hAnsi="Arial" w:hint="eastAsia"/>
          <w:i/>
          <w:sz w:val="32"/>
          <w:szCs w:val="32"/>
        </w:rPr>
        <w:t>參考答案</w:t>
      </w:r>
    </w:p>
    <w:p w:rsidR="004A1C15" w:rsidRDefault="004A1C15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4A1C15" w:rsidRPr="008A2DBA" w:rsidRDefault="004A1C15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  <w:i/>
        </w:rPr>
      </w:pPr>
      <w:r w:rsidRPr="008A2DBA">
        <w:rPr>
          <w:rFonts w:ascii="Arial" w:eastAsia="新細明體" w:hAnsi="Arial"/>
          <w:i/>
        </w:rPr>
        <w:t>在個人通訊急遽發展的環境中，無線通訊已成為</w:t>
      </w:r>
      <w:proofErr w:type="gramStart"/>
      <w:r w:rsidRPr="008A2DBA">
        <w:rPr>
          <w:rFonts w:ascii="Arial" w:eastAsia="新細明體" w:hAnsi="Arial"/>
          <w:i/>
        </w:rPr>
        <w:t>一</w:t>
      </w:r>
      <w:proofErr w:type="gramEnd"/>
      <w:r w:rsidRPr="008A2DBA">
        <w:rPr>
          <w:rFonts w:ascii="Arial" w:eastAsia="新細明體" w:hAnsi="Arial"/>
          <w:i/>
        </w:rPr>
        <w:t>重要的技術。在無線網路上，使用者不再被網路線所限制，而能帶著筆記型電腦四處遊走，並可連上網路來收送資訊。</w:t>
      </w:r>
      <w:r w:rsidRPr="008A2DBA">
        <w:rPr>
          <w:rFonts w:ascii="Arial" w:eastAsia="新細明體" w:hAnsi="Arial"/>
          <w:i/>
        </w:rPr>
        <w:t>IEEE 802.11</w:t>
      </w:r>
      <w:r w:rsidRPr="008A2DBA">
        <w:rPr>
          <w:rFonts w:ascii="Arial" w:eastAsia="新細明體" w:hAnsi="Arial"/>
          <w:i/>
        </w:rPr>
        <w:t>是因應此類需求而訂定出的無線區域網路標準，各廠商依據此標準所生產出的無線產品，便可達到彼此的相容性，而無線網路的使用區域及應用，將會因此更加廣泛和便利。</w:t>
      </w:r>
      <w:r w:rsidRPr="008A2DBA">
        <w:rPr>
          <w:rFonts w:ascii="Arial" w:eastAsia="新細明體" w:hAnsi="Arial"/>
          <w:i/>
        </w:rPr>
        <w:t>IEEE 802.11</w:t>
      </w:r>
      <w:r w:rsidRPr="008A2DBA">
        <w:rPr>
          <w:rFonts w:ascii="Arial" w:eastAsia="新細明體" w:hAnsi="Arial"/>
          <w:i/>
        </w:rPr>
        <w:t>訂定了</w:t>
      </w:r>
      <w:r w:rsidRPr="008A2DBA">
        <w:rPr>
          <w:rFonts w:ascii="Arial" w:eastAsia="新細明體" w:hAnsi="Arial"/>
          <w:i/>
        </w:rPr>
        <w:t>OSI</w:t>
      </w:r>
      <w:r w:rsidRPr="008A2DBA">
        <w:rPr>
          <w:rFonts w:ascii="Arial" w:eastAsia="新細明體" w:hAnsi="Arial"/>
          <w:i/>
        </w:rPr>
        <w:t>七層通訊架構中的實體層及資料連結層中的媒介存取控制</w:t>
      </w:r>
      <w:proofErr w:type="gramStart"/>
      <w:r w:rsidRPr="008A2DBA">
        <w:rPr>
          <w:rFonts w:ascii="Arial" w:eastAsia="新細明體" w:hAnsi="Arial"/>
          <w:i/>
        </w:rPr>
        <w:t>（</w:t>
      </w:r>
      <w:proofErr w:type="gramEnd"/>
      <w:r w:rsidRPr="008A2DBA">
        <w:rPr>
          <w:rFonts w:ascii="Arial" w:eastAsia="新細明體" w:hAnsi="Arial"/>
          <w:i/>
        </w:rPr>
        <w:t>Medium Address Control</w:t>
      </w:r>
      <w:r w:rsidRPr="008A2DBA">
        <w:rPr>
          <w:rFonts w:ascii="Arial" w:eastAsia="新細明體" w:hAnsi="Arial"/>
          <w:i/>
        </w:rPr>
        <w:t>；</w:t>
      </w:r>
      <w:r w:rsidRPr="008A2DBA">
        <w:rPr>
          <w:rFonts w:ascii="Arial" w:eastAsia="新細明體" w:hAnsi="Arial"/>
          <w:i/>
        </w:rPr>
        <w:t>MAC</w:t>
      </w:r>
      <w:proofErr w:type="gramStart"/>
      <w:r w:rsidRPr="008A2DBA">
        <w:rPr>
          <w:rFonts w:ascii="Arial" w:eastAsia="新細明體" w:hAnsi="Arial"/>
          <w:i/>
        </w:rPr>
        <w:t>）子層之</w:t>
      </w:r>
      <w:proofErr w:type="gramEnd"/>
      <w:r w:rsidRPr="008A2DBA">
        <w:rPr>
          <w:rFonts w:ascii="Arial" w:eastAsia="新細明體" w:hAnsi="Arial"/>
          <w:i/>
        </w:rPr>
        <w:t>規範。在</w:t>
      </w:r>
      <w:r w:rsidRPr="008A2DBA">
        <w:rPr>
          <w:rFonts w:ascii="Arial" w:eastAsia="新細明體" w:hAnsi="Arial"/>
          <w:i/>
        </w:rPr>
        <w:t>IEEE 802.11</w:t>
      </w:r>
      <w:r w:rsidRPr="008A2DBA">
        <w:rPr>
          <w:rFonts w:ascii="Arial" w:eastAsia="新細明體" w:hAnsi="Arial"/>
          <w:i/>
        </w:rPr>
        <w:t>的無線區域網路架構有兩種：</w:t>
      </w:r>
      <w:proofErr w:type="spellStart"/>
      <w:r w:rsidRPr="008A2DBA">
        <w:rPr>
          <w:rFonts w:ascii="Arial" w:eastAsia="新細明體" w:hAnsi="Arial"/>
          <w:i/>
        </w:rPr>
        <w:t>Adhoc</w:t>
      </w:r>
      <w:proofErr w:type="spellEnd"/>
      <w:r w:rsidRPr="008A2DBA">
        <w:rPr>
          <w:rFonts w:ascii="Arial" w:eastAsia="新細明體" w:hAnsi="Arial"/>
          <w:i/>
        </w:rPr>
        <w:t xml:space="preserve"> Network</w:t>
      </w:r>
      <w:r w:rsidRPr="008A2DBA">
        <w:rPr>
          <w:rFonts w:ascii="Arial" w:eastAsia="新細明體" w:hAnsi="Arial"/>
          <w:i/>
        </w:rPr>
        <w:t>與</w:t>
      </w:r>
      <w:proofErr w:type="spellStart"/>
      <w:r w:rsidRPr="008A2DBA">
        <w:rPr>
          <w:rFonts w:ascii="Arial" w:eastAsia="新細明體" w:hAnsi="Arial"/>
          <w:i/>
        </w:rPr>
        <w:t>InfrastructureNetwork</w:t>
      </w:r>
      <w:proofErr w:type="spellEnd"/>
      <w:r w:rsidRPr="008A2DBA">
        <w:rPr>
          <w:rFonts w:ascii="Arial" w:eastAsia="新細明體" w:hAnsi="Arial"/>
          <w:i/>
        </w:rPr>
        <w:t>。</w:t>
      </w:r>
    </w:p>
    <w:p w:rsidR="004A1C15" w:rsidRPr="004A1C15" w:rsidRDefault="004A1C15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4A1C15" w:rsidRPr="004A1C15" w:rsidRDefault="004A1C15" w:rsidP="00F84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proofErr w:type="spellStart"/>
      <w:r w:rsidRPr="004A1C15">
        <w:rPr>
          <w:rFonts w:ascii="Arial" w:eastAsia="新細明體" w:hAnsi="Arial"/>
        </w:rPr>
        <w:t>Adhoc</w:t>
      </w:r>
      <w:proofErr w:type="spellEnd"/>
      <w:r w:rsidRPr="004A1C15">
        <w:rPr>
          <w:rFonts w:ascii="Arial" w:eastAsia="新細明體" w:hAnsi="Arial"/>
        </w:rPr>
        <w:t xml:space="preserve"> Network</w:t>
      </w:r>
      <w:r w:rsidRPr="004A1C15">
        <w:rPr>
          <w:rFonts w:ascii="Arial" w:eastAsia="新細明體" w:hAnsi="Arial"/>
        </w:rPr>
        <w:t>架構分為兩種，其中</w:t>
      </w:r>
      <w:r w:rsidRPr="004A1C15">
        <w:rPr>
          <w:rFonts w:ascii="Arial" w:eastAsia="新細明體" w:hAnsi="Arial"/>
        </w:rPr>
        <w:t>STA</w:t>
      </w:r>
      <w:r w:rsidRPr="004A1C15">
        <w:rPr>
          <w:rFonts w:ascii="Arial" w:eastAsia="新細明體" w:hAnsi="Arial"/>
        </w:rPr>
        <w:t>為一工作站，工作站與工作站</w:t>
      </w:r>
      <w:proofErr w:type="gramStart"/>
      <w:r w:rsidRPr="004A1C15">
        <w:rPr>
          <w:rFonts w:ascii="Arial" w:eastAsia="新細明體" w:hAnsi="Arial"/>
        </w:rPr>
        <w:t>之間，</w:t>
      </w:r>
      <w:proofErr w:type="gramEnd"/>
      <w:r w:rsidRPr="004A1C15">
        <w:rPr>
          <w:rFonts w:ascii="Arial" w:eastAsia="新細明體" w:hAnsi="Arial"/>
        </w:rPr>
        <w:t>藉由無線媒介</w:t>
      </w:r>
      <w:proofErr w:type="gramStart"/>
      <w:r w:rsidRPr="004A1C15">
        <w:rPr>
          <w:rFonts w:ascii="Arial" w:eastAsia="新細明體" w:hAnsi="Arial"/>
        </w:rPr>
        <w:t>（</w:t>
      </w:r>
      <w:proofErr w:type="gramEnd"/>
      <w:r w:rsidRPr="004A1C15">
        <w:rPr>
          <w:rFonts w:ascii="Arial" w:eastAsia="新細明體" w:hAnsi="Arial"/>
        </w:rPr>
        <w:t>Wireless Medium</w:t>
      </w:r>
      <w:r w:rsidRPr="004A1C15">
        <w:rPr>
          <w:rFonts w:ascii="Arial" w:eastAsia="新細明體" w:hAnsi="Arial"/>
        </w:rPr>
        <w:t>；</w:t>
      </w:r>
      <w:r w:rsidRPr="004A1C15">
        <w:rPr>
          <w:rFonts w:ascii="Arial" w:eastAsia="新細明體" w:hAnsi="Arial"/>
        </w:rPr>
        <w:t>WM</w:t>
      </w:r>
      <w:proofErr w:type="gramStart"/>
      <w:r w:rsidRPr="004A1C15">
        <w:rPr>
          <w:rFonts w:ascii="Arial" w:eastAsia="新細明體" w:hAnsi="Arial"/>
        </w:rPr>
        <w:t>）</w:t>
      </w:r>
      <w:proofErr w:type="gramEnd"/>
      <w:r w:rsidRPr="004A1C15">
        <w:rPr>
          <w:rFonts w:ascii="Arial" w:eastAsia="新細明體" w:hAnsi="Arial"/>
        </w:rPr>
        <w:t>在工作站的功率所及區域來收送資訊。而這些工作站的功率區域便形成無線網路的基本服務區</w:t>
      </w:r>
      <w:proofErr w:type="gramStart"/>
      <w:r w:rsidRPr="004A1C15">
        <w:rPr>
          <w:rFonts w:ascii="Arial" w:eastAsia="新細明體" w:hAnsi="Arial"/>
        </w:rPr>
        <w:t>（</w:t>
      </w:r>
      <w:proofErr w:type="gramEnd"/>
      <w:r w:rsidRPr="004A1C15">
        <w:rPr>
          <w:rFonts w:ascii="Arial" w:eastAsia="新細明體" w:hAnsi="Arial"/>
        </w:rPr>
        <w:t>Basic Service Set</w:t>
      </w:r>
      <w:r w:rsidRPr="004A1C15">
        <w:rPr>
          <w:rFonts w:ascii="Arial" w:eastAsia="新細明體" w:hAnsi="Arial"/>
        </w:rPr>
        <w:t>；</w:t>
      </w:r>
      <w:r w:rsidRPr="004A1C15">
        <w:rPr>
          <w:rFonts w:ascii="Arial" w:eastAsia="新細明體" w:hAnsi="Arial"/>
        </w:rPr>
        <w:t>BSS</w:t>
      </w:r>
      <w:proofErr w:type="gramStart"/>
      <w:r w:rsidRPr="004A1C15">
        <w:rPr>
          <w:rFonts w:ascii="Arial" w:eastAsia="新細明體" w:hAnsi="Arial"/>
        </w:rPr>
        <w:t>）</w:t>
      </w:r>
      <w:proofErr w:type="gramEnd"/>
      <w:r w:rsidRPr="004A1C15">
        <w:rPr>
          <w:rFonts w:ascii="Arial" w:eastAsia="新細明體" w:hAnsi="Arial"/>
        </w:rPr>
        <w:t>，每一個</w:t>
      </w:r>
      <w:r w:rsidRPr="004A1C15">
        <w:rPr>
          <w:rFonts w:ascii="Arial" w:eastAsia="新細明體" w:hAnsi="Arial"/>
        </w:rPr>
        <w:t>BSS</w:t>
      </w:r>
      <w:r w:rsidRPr="004A1C15">
        <w:rPr>
          <w:rFonts w:ascii="Arial" w:eastAsia="新細明體" w:hAnsi="Arial"/>
        </w:rPr>
        <w:t>，都給予一個具唯一性的識別碼（</w:t>
      </w:r>
      <w:r w:rsidRPr="004A1C15">
        <w:rPr>
          <w:rFonts w:ascii="Arial" w:eastAsia="新細明體" w:hAnsi="Arial"/>
        </w:rPr>
        <w:t>BSS ID</w:t>
      </w:r>
      <w:r w:rsidRPr="004A1C15">
        <w:rPr>
          <w:rFonts w:ascii="Arial" w:eastAsia="新細明體" w:hAnsi="Arial"/>
        </w:rPr>
        <w:t>）。如此，具有相同</w:t>
      </w:r>
      <w:r w:rsidRPr="004A1C15">
        <w:rPr>
          <w:rFonts w:ascii="Arial" w:eastAsia="新細明體" w:hAnsi="Arial"/>
        </w:rPr>
        <w:t>BSS ID</w:t>
      </w:r>
      <w:r w:rsidRPr="004A1C15">
        <w:rPr>
          <w:rFonts w:ascii="Arial" w:eastAsia="新細明體" w:hAnsi="Arial"/>
        </w:rPr>
        <w:t>的工作站便屬於同一</w:t>
      </w:r>
      <w:proofErr w:type="gramStart"/>
      <w:r w:rsidRPr="004A1C15">
        <w:rPr>
          <w:rFonts w:ascii="Arial" w:eastAsia="新細明體" w:hAnsi="Arial"/>
        </w:rPr>
        <w:t>個</w:t>
      </w:r>
      <w:proofErr w:type="gramEnd"/>
      <w:r w:rsidRPr="004A1C15">
        <w:rPr>
          <w:rFonts w:ascii="Arial" w:eastAsia="新細明體" w:hAnsi="Arial"/>
        </w:rPr>
        <w:t>基本服務區。在此架構之下，一個基本服務區就是一個</w:t>
      </w:r>
      <w:proofErr w:type="spellStart"/>
      <w:r w:rsidRPr="004A1C15">
        <w:rPr>
          <w:rFonts w:ascii="Arial" w:eastAsia="新細明體" w:hAnsi="Arial"/>
        </w:rPr>
        <w:t>AdhocNetwork</w:t>
      </w:r>
      <w:proofErr w:type="spellEnd"/>
      <w:r w:rsidRPr="004A1C15">
        <w:rPr>
          <w:rFonts w:ascii="Arial" w:eastAsia="新細明體" w:hAnsi="Arial"/>
        </w:rPr>
        <w:t>。工作站只能藉以無線媒介來收送訊息，無法進入其他類型的網路，其延展性較小。</w:t>
      </w:r>
    </w:p>
    <w:p w:rsidR="004A1C15" w:rsidRPr="004A1C15" w:rsidRDefault="004A1C15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4A1C15" w:rsidRDefault="008A2DBA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>
        <w:rPr>
          <w:rFonts w:ascii="Arial" w:eastAsia="新細明體" w:hAnsi="Arial"/>
          <w:noProof/>
        </w:rPr>
        <w:drawing>
          <wp:anchor distT="0" distB="0" distL="114300" distR="114300" simplePos="0" relativeHeight="251658240" behindDoc="0" locked="0" layoutInCell="1" allowOverlap="1" wp14:anchorId="3DEBD750" wp14:editId="1BAFEA1D">
            <wp:simplePos x="0" y="0"/>
            <wp:positionH relativeFrom="column">
              <wp:posOffset>2159635</wp:posOffset>
            </wp:positionH>
            <wp:positionV relativeFrom="paragraph">
              <wp:posOffset>944245</wp:posOffset>
            </wp:positionV>
            <wp:extent cx="1045845" cy="826135"/>
            <wp:effectExtent l="0" t="0" r="190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31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C15" w:rsidRPr="004A1C15">
        <w:rPr>
          <w:rFonts w:ascii="Arial" w:eastAsia="新細明體" w:hAnsi="Arial"/>
        </w:rPr>
        <w:t>Infrastructure Network</w:t>
      </w:r>
      <w:r w:rsidR="004A1C15" w:rsidRPr="004A1C15">
        <w:rPr>
          <w:rFonts w:ascii="Arial" w:eastAsia="新細明體" w:hAnsi="Arial"/>
        </w:rPr>
        <w:t>架構比</w:t>
      </w:r>
      <w:proofErr w:type="spellStart"/>
      <w:r w:rsidR="004A1C15" w:rsidRPr="004A1C15">
        <w:rPr>
          <w:rFonts w:ascii="Arial" w:eastAsia="新細明體" w:hAnsi="Arial"/>
        </w:rPr>
        <w:t>Adhoc</w:t>
      </w:r>
      <w:proofErr w:type="spellEnd"/>
      <w:r w:rsidR="004A1C15" w:rsidRPr="004A1C15">
        <w:rPr>
          <w:rFonts w:ascii="Arial" w:eastAsia="新細明體" w:hAnsi="Arial"/>
        </w:rPr>
        <w:t xml:space="preserve"> Network</w:t>
      </w:r>
      <w:r w:rsidR="004A1C15" w:rsidRPr="004A1C15">
        <w:rPr>
          <w:rFonts w:ascii="Arial" w:eastAsia="新細明體" w:hAnsi="Arial"/>
        </w:rPr>
        <w:t>的架構上多了兩個元件，一為擷取點</w:t>
      </w:r>
      <w:proofErr w:type="gramStart"/>
      <w:r w:rsidR="004A1C15" w:rsidRPr="004A1C15">
        <w:rPr>
          <w:rFonts w:ascii="Arial" w:eastAsia="新細明體" w:hAnsi="Arial"/>
        </w:rPr>
        <w:t>（</w:t>
      </w:r>
      <w:proofErr w:type="gramEnd"/>
      <w:r w:rsidR="004A1C15" w:rsidRPr="004A1C15">
        <w:rPr>
          <w:rFonts w:ascii="Arial" w:eastAsia="新細明體" w:hAnsi="Arial"/>
        </w:rPr>
        <w:t>Access Point</w:t>
      </w:r>
      <w:r w:rsidR="004A1C15" w:rsidRPr="004A1C15">
        <w:rPr>
          <w:rFonts w:ascii="Arial" w:eastAsia="新細明體" w:hAnsi="Arial"/>
        </w:rPr>
        <w:t>；</w:t>
      </w:r>
      <w:r w:rsidR="004A1C15" w:rsidRPr="004A1C15">
        <w:rPr>
          <w:rFonts w:ascii="Arial" w:eastAsia="新細明體" w:hAnsi="Arial"/>
        </w:rPr>
        <w:t>AP</w:t>
      </w:r>
      <w:proofErr w:type="gramStart"/>
      <w:r w:rsidR="004A1C15" w:rsidRPr="004A1C15">
        <w:rPr>
          <w:rFonts w:ascii="Arial" w:eastAsia="新細明體" w:hAnsi="Arial"/>
        </w:rPr>
        <w:t>）</w:t>
      </w:r>
      <w:proofErr w:type="gramEnd"/>
      <w:r w:rsidR="004A1C15" w:rsidRPr="004A1C15">
        <w:rPr>
          <w:rFonts w:ascii="Arial" w:eastAsia="新細明體" w:hAnsi="Arial"/>
        </w:rPr>
        <w:t>，另一為分散系統</w:t>
      </w:r>
      <w:proofErr w:type="gramStart"/>
      <w:r w:rsidR="004A1C15" w:rsidRPr="004A1C15">
        <w:rPr>
          <w:rFonts w:ascii="Arial" w:eastAsia="新細明體" w:hAnsi="Arial"/>
        </w:rPr>
        <w:t>（</w:t>
      </w:r>
      <w:proofErr w:type="gramEnd"/>
      <w:r w:rsidR="004A1C15" w:rsidRPr="004A1C15">
        <w:rPr>
          <w:rFonts w:ascii="Arial" w:eastAsia="新細明體" w:hAnsi="Arial"/>
        </w:rPr>
        <w:t>Distribution System</w:t>
      </w:r>
      <w:r w:rsidR="004A1C15" w:rsidRPr="004A1C15">
        <w:rPr>
          <w:rFonts w:ascii="Arial" w:eastAsia="新細明體" w:hAnsi="Arial"/>
        </w:rPr>
        <w:t>；</w:t>
      </w:r>
      <w:r w:rsidR="004A1C15" w:rsidRPr="004A1C15">
        <w:rPr>
          <w:rFonts w:ascii="Arial" w:eastAsia="新細明體" w:hAnsi="Arial"/>
        </w:rPr>
        <w:t>DS</w:t>
      </w:r>
      <w:proofErr w:type="gramStart"/>
      <w:r w:rsidR="004A1C15" w:rsidRPr="004A1C15">
        <w:rPr>
          <w:rFonts w:ascii="Arial" w:eastAsia="新細明體" w:hAnsi="Arial"/>
        </w:rPr>
        <w:t>）</w:t>
      </w:r>
      <w:proofErr w:type="gramEnd"/>
      <w:r w:rsidR="004A1C15" w:rsidRPr="004A1C15">
        <w:rPr>
          <w:rFonts w:ascii="Arial" w:eastAsia="新細明體" w:hAnsi="Arial"/>
        </w:rPr>
        <w:t>。擷取點本身亦為一工作站再加上一些額外的功能，其功率所及區域便成了一個基本服務區且亦擁有唯一性的</w:t>
      </w:r>
      <w:r w:rsidR="004A1C15" w:rsidRPr="004A1C15">
        <w:rPr>
          <w:rFonts w:ascii="Arial" w:eastAsia="新細明體" w:hAnsi="Arial"/>
        </w:rPr>
        <w:t>BSS ID</w:t>
      </w:r>
      <w:r w:rsidR="004A1C15" w:rsidRPr="004A1C15">
        <w:rPr>
          <w:rFonts w:ascii="Arial" w:eastAsia="新細明體" w:hAnsi="Arial"/>
        </w:rPr>
        <w:t>。擷取點能將工作站的資訊透過無線媒介取得，並將其資訊轉送至分散系統，且亦能從分散系統得到的資訊，藉由無線媒介轉送至工作站。所以工作站收送資訊範圍不再是被侷限於自己所在的基本服務區內，而是藉由擷取點和分散系統把收送</w:t>
      </w:r>
      <w:bookmarkStart w:id="0" w:name="_GoBack"/>
      <w:bookmarkEnd w:id="0"/>
      <w:r w:rsidR="004A1C15" w:rsidRPr="004A1C15">
        <w:rPr>
          <w:rFonts w:ascii="Arial" w:eastAsia="新細明體" w:hAnsi="Arial"/>
        </w:rPr>
        <w:t>資訊範圍給擴展開來。多台擷取點接上分散系統後，在</w:t>
      </w:r>
      <w:proofErr w:type="gramStart"/>
      <w:r w:rsidR="004A1C15" w:rsidRPr="004A1C15">
        <w:rPr>
          <w:rFonts w:ascii="Arial" w:eastAsia="新細明體" w:hAnsi="Arial"/>
        </w:rPr>
        <w:t>一</w:t>
      </w:r>
      <w:proofErr w:type="gramEnd"/>
      <w:r w:rsidR="004A1C15" w:rsidRPr="004A1C15">
        <w:rPr>
          <w:rFonts w:ascii="Arial" w:eastAsia="新細明體" w:hAnsi="Arial"/>
        </w:rPr>
        <w:t>基本服務區內的工作站便可與其他基本服務區內的工作站交換訊息，所以這些基本服務區便成了一個較大的服務區，稱為延展服務區</w:t>
      </w:r>
      <w:proofErr w:type="gramStart"/>
      <w:r w:rsidR="004A1C15" w:rsidRPr="004A1C15">
        <w:rPr>
          <w:rFonts w:ascii="Arial" w:eastAsia="新細明體" w:hAnsi="Arial"/>
        </w:rPr>
        <w:t>（</w:t>
      </w:r>
      <w:proofErr w:type="gramEnd"/>
      <w:r w:rsidR="004A1C15" w:rsidRPr="004A1C15">
        <w:rPr>
          <w:rFonts w:ascii="Arial" w:eastAsia="新細明體" w:hAnsi="Arial"/>
        </w:rPr>
        <w:t>Extended Service Set</w:t>
      </w:r>
      <w:r w:rsidR="004A1C15" w:rsidRPr="004A1C15">
        <w:rPr>
          <w:rFonts w:ascii="Arial" w:eastAsia="新細明體" w:hAnsi="Arial"/>
        </w:rPr>
        <w:t>；</w:t>
      </w:r>
      <w:r w:rsidR="004A1C15" w:rsidRPr="004A1C15">
        <w:rPr>
          <w:rFonts w:ascii="Arial" w:eastAsia="新細明體" w:hAnsi="Arial"/>
        </w:rPr>
        <w:t>ESS</w:t>
      </w:r>
      <w:proofErr w:type="gramStart"/>
      <w:r w:rsidR="004A1C15" w:rsidRPr="004A1C15">
        <w:rPr>
          <w:rFonts w:ascii="Arial" w:eastAsia="新細明體" w:hAnsi="Arial"/>
        </w:rPr>
        <w:t>）</w:t>
      </w:r>
      <w:proofErr w:type="gramEnd"/>
      <w:r w:rsidR="004A1C15" w:rsidRPr="004A1C15">
        <w:rPr>
          <w:rFonts w:ascii="Arial" w:eastAsia="新細明體" w:hAnsi="Arial"/>
        </w:rPr>
        <w:t>，同樣地，我們給予一個具唯一性的識別碼（</w:t>
      </w:r>
      <w:r w:rsidR="004A1C15" w:rsidRPr="004A1C15">
        <w:rPr>
          <w:rFonts w:ascii="Arial" w:eastAsia="新細明體" w:hAnsi="Arial"/>
        </w:rPr>
        <w:t>ESS ID</w:t>
      </w:r>
      <w:r w:rsidR="004A1C15" w:rsidRPr="004A1C15">
        <w:rPr>
          <w:rFonts w:ascii="Arial" w:eastAsia="新細明體" w:hAnsi="Arial"/>
        </w:rPr>
        <w:t>）。然而</w:t>
      </w:r>
      <w:r w:rsidR="004A1C15" w:rsidRPr="004A1C15">
        <w:rPr>
          <w:rFonts w:ascii="Arial" w:eastAsia="新細明體" w:hAnsi="Arial"/>
        </w:rPr>
        <w:t>IEEE 802.11</w:t>
      </w:r>
      <w:r w:rsidR="004A1C15" w:rsidRPr="004A1C15">
        <w:rPr>
          <w:rFonts w:ascii="Arial" w:eastAsia="新細明體" w:hAnsi="Arial"/>
        </w:rPr>
        <w:t>並未對分散系統作詳細的規範，完全要看使用者如何去規劃它。而藉著</w:t>
      </w:r>
      <w:r w:rsidR="004A1C15" w:rsidRPr="004A1C15">
        <w:rPr>
          <w:rFonts w:ascii="Arial" w:eastAsia="新細明體" w:hAnsi="Arial"/>
        </w:rPr>
        <w:t>Infrastructure Network</w:t>
      </w:r>
      <w:r w:rsidR="004A1C15" w:rsidRPr="004A1C15">
        <w:rPr>
          <w:rFonts w:ascii="Arial" w:eastAsia="新細明體" w:hAnsi="Arial"/>
        </w:rPr>
        <w:t>的架構，可將無線網路與目前現有的有線網路（如乙太網路）作連結。</w:t>
      </w:r>
      <w:proofErr w:type="gramStart"/>
      <w:r w:rsidR="004A1C15" w:rsidRPr="004A1C15">
        <w:rPr>
          <w:rFonts w:ascii="Arial" w:eastAsia="新細明體" w:hAnsi="Arial"/>
        </w:rPr>
        <w:t>利用埠接器</w:t>
      </w:r>
      <w:proofErr w:type="gramEnd"/>
      <w:r w:rsidR="004A1C15" w:rsidRPr="004A1C15">
        <w:rPr>
          <w:rFonts w:ascii="Arial" w:eastAsia="新細明體" w:hAnsi="Arial"/>
        </w:rPr>
        <w:t>（</w:t>
      </w:r>
      <w:r w:rsidR="004A1C15" w:rsidRPr="004A1C15">
        <w:rPr>
          <w:rFonts w:ascii="Arial" w:eastAsia="新細明體" w:hAnsi="Arial"/>
        </w:rPr>
        <w:t>Portal</w:t>
      </w:r>
      <w:r w:rsidR="004A1C15" w:rsidRPr="004A1C15">
        <w:rPr>
          <w:rFonts w:ascii="Arial" w:eastAsia="新細明體" w:hAnsi="Arial"/>
        </w:rPr>
        <w:t>）將分散系統與</w:t>
      </w:r>
      <w:r w:rsidR="004A1C15" w:rsidRPr="004A1C15">
        <w:rPr>
          <w:rFonts w:ascii="Arial" w:eastAsia="新細明體" w:hAnsi="Arial"/>
        </w:rPr>
        <w:t>IEEE 802.X</w:t>
      </w:r>
      <w:r w:rsidR="004A1C15" w:rsidRPr="004A1C15">
        <w:rPr>
          <w:rFonts w:ascii="Arial" w:eastAsia="新細明體" w:hAnsi="Arial"/>
        </w:rPr>
        <w:t>網路相連，因此分散系統可視為</w:t>
      </w:r>
      <w:r w:rsidR="004A1C15" w:rsidRPr="004A1C15">
        <w:rPr>
          <w:rFonts w:ascii="Arial" w:eastAsia="新細明體" w:hAnsi="Arial"/>
        </w:rPr>
        <w:t>IEEE 802.X</w:t>
      </w:r>
      <w:r w:rsidR="004A1C15" w:rsidRPr="004A1C15">
        <w:rPr>
          <w:rFonts w:ascii="Arial" w:eastAsia="新細明體" w:hAnsi="Arial"/>
        </w:rPr>
        <w:t>網路與無線</w:t>
      </w:r>
      <w:proofErr w:type="gramStart"/>
      <w:r w:rsidR="004A1C15" w:rsidRPr="004A1C15">
        <w:rPr>
          <w:rFonts w:ascii="Arial" w:eastAsia="新細明體" w:hAnsi="Arial"/>
        </w:rPr>
        <w:t>網路間的界</w:t>
      </w:r>
      <w:proofErr w:type="gramEnd"/>
      <w:r w:rsidR="004A1C15" w:rsidRPr="004A1C15">
        <w:rPr>
          <w:rFonts w:ascii="Arial" w:eastAsia="新細明體" w:hAnsi="Arial"/>
        </w:rPr>
        <w:t>面。無線區域網路也因有此架構與功能，使得無線區域網路能作最大的延展及應用。</w:t>
      </w:r>
    </w:p>
    <w:p w:rsidR="00590D06" w:rsidRPr="004A1C15" w:rsidRDefault="00590D06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3490"/>
      </w:tblGrid>
      <w:tr w:rsidR="00590D06" w:rsidTr="00590D06">
        <w:tc>
          <w:tcPr>
            <w:tcW w:w="1526" w:type="dxa"/>
            <w:shd w:val="clear" w:color="auto" w:fill="BFBFBF" w:themeFill="background1" w:themeFillShade="BF"/>
            <w:vAlign w:val="bottom"/>
          </w:tcPr>
          <w:p w:rsidR="00590D06" w:rsidRDefault="00590D06" w:rsidP="00590D06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bottom"/>
          </w:tcPr>
          <w:p w:rsidR="00590D06" w:rsidRDefault="00590D06" w:rsidP="00590D06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>必備證件</w:t>
            </w:r>
          </w:p>
        </w:tc>
        <w:tc>
          <w:tcPr>
            <w:tcW w:w="3490" w:type="dxa"/>
            <w:shd w:val="clear" w:color="auto" w:fill="BFBFBF" w:themeFill="background1" w:themeFillShade="BF"/>
            <w:vAlign w:val="bottom"/>
          </w:tcPr>
          <w:p w:rsidR="00590D06" w:rsidRDefault="00590D06" w:rsidP="00590D06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>申辦護照</w:t>
            </w:r>
          </w:p>
        </w:tc>
      </w:tr>
      <w:tr w:rsidR="00590D06" w:rsidRPr="00590D06" w:rsidTr="00590D06">
        <w:trPr>
          <w:cantSplit/>
          <w:trHeight w:val="3019"/>
        </w:trPr>
        <w:tc>
          <w:tcPr>
            <w:tcW w:w="1526" w:type="dxa"/>
            <w:shd w:val="clear" w:color="auto" w:fill="BFBFBF" w:themeFill="background1" w:themeFillShade="BF"/>
            <w:textDirection w:val="tbRlV"/>
            <w:vAlign w:val="center"/>
          </w:tcPr>
          <w:p w:rsidR="00590D06" w:rsidRDefault="00590D06" w:rsidP="003A72BB">
            <w:pPr>
              <w:overflowPunct w:val="0"/>
              <w:spacing w:line="360" w:lineRule="exact"/>
              <w:ind w:left="113" w:right="113"/>
              <w:jc w:val="center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>旅遊證件</w:t>
            </w:r>
          </w:p>
        </w:tc>
        <w:tc>
          <w:tcPr>
            <w:tcW w:w="3544" w:type="dxa"/>
            <w:textDirection w:val="tbRlV"/>
            <w:vAlign w:val="center"/>
          </w:tcPr>
          <w:p w:rsidR="00590D06" w:rsidRDefault="00590D06" w:rsidP="00590D06">
            <w:pPr>
              <w:overflowPunct w:val="0"/>
              <w:spacing w:line="360" w:lineRule="exact"/>
              <w:ind w:left="113" w:right="113"/>
              <w:jc w:val="both"/>
              <w:rPr>
                <w:rFonts w:ascii="Arial" w:eastAsia="新細明體" w:hAnsi="Arial"/>
              </w:rPr>
            </w:pPr>
            <w:r w:rsidRPr="00590D06">
              <w:rPr>
                <w:rFonts w:ascii="Arial" w:eastAsia="新細明體" w:hAnsi="Arial" w:hint="eastAsia"/>
              </w:rPr>
              <w:t>四、公司及住家地址、電話</w:t>
            </w:r>
          </w:p>
          <w:p w:rsidR="00590D06" w:rsidRDefault="00590D06" w:rsidP="00590D06">
            <w:pPr>
              <w:overflowPunct w:val="0"/>
              <w:spacing w:line="360" w:lineRule="exact"/>
              <w:ind w:left="113" w:right="113"/>
              <w:jc w:val="both"/>
              <w:rPr>
                <w:rFonts w:ascii="Arial" w:eastAsia="新細明體" w:hAnsi="Arial"/>
              </w:rPr>
            </w:pPr>
            <w:proofErr w:type="gramStart"/>
            <w:r w:rsidRPr="00590D06">
              <w:rPr>
                <w:rFonts w:ascii="Arial" w:eastAsia="新細明體" w:hAnsi="Arial" w:hint="eastAsia"/>
              </w:rPr>
              <w:t>三、二吋近照</w:t>
            </w:r>
            <w:proofErr w:type="gramEnd"/>
            <w:r w:rsidRPr="00590D06">
              <w:rPr>
                <w:rFonts w:ascii="Arial" w:eastAsia="新細明體" w:hAnsi="Arial" w:hint="eastAsia"/>
              </w:rPr>
              <w:t>一張</w:t>
            </w:r>
          </w:p>
          <w:p w:rsidR="00590D06" w:rsidRDefault="00590D06" w:rsidP="00590D06">
            <w:pPr>
              <w:overflowPunct w:val="0"/>
              <w:spacing w:line="360" w:lineRule="exact"/>
              <w:ind w:left="113" w:right="113"/>
              <w:jc w:val="both"/>
              <w:rPr>
                <w:rFonts w:ascii="Arial" w:eastAsia="新細明體" w:hAnsi="Arial"/>
              </w:rPr>
            </w:pPr>
            <w:r w:rsidRPr="00590D06">
              <w:rPr>
                <w:rFonts w:ascii="Arial" w:eastAsia="新細明體" w:hAnsi="Arial" w:hint="eastAsia"/>
              </w:rPr>
              <w:t>二、身分證影本</w:t>
            </w:r>
          </w:p>
          <w:p w:rsidR="00590D06" w:rsidRDefault="00590D06" w:rsidP="00590D06">
            <w:pPr>
              <w:overflowPunct w:val="0"/>
              <w:spacing w:line="360" w:lineRule="exact"/>
              <w:ind w:left="113" w:right="113"/>
              <w:jc w:val="both"/>
              <w:rPr>
                <w:rFonts w:ascii="Arial" w:eastAsia="新細明體" w:hAnsi="Arial"/>
              </w:rPr>
            </w:pPr>
            <w:r w:rsidRPr="00590D06">
              <w:rPr>
                <w:rFonts w:ascii="Arial" w:eastAsia="新細明體" w:hAnsi="Arial" w:hint="eastAsia"/>
              </w:rPr>
              <w:t>一、護照</w:t>
            </w:r>
          </w:p>
        </w:tc>
        <w:tc>
          <w:tcPr>
            <w:tcW w:w="3490" w:type="dxa"/>
            <w:textDirection w:val="tbRlV"/>
            <w:vAlign w:val="center"/>
          </w:tcPr>
          <w:p w:rsidR="00590D06" w:rsidRPr="00590D06" w:rsidRDefault="00590D06" w:rsidP="00590D06">
            <w:pPr>
              <w:overflowPunct w:val="0"/>
              <w:spacing w:line="360" w:lineRule="exact"/>
              <w:ind w:left="113" w:right="113"/>
              <w:jc w:val="both"/>
              <w:rPr>
                <w:rFonts w:ascii="Arial" w:eastAsia="新細明體" w:hAnsi="Arial"/>
              </w:rPr>
            </w:pPr>
            <w:r w:rsidRPr="00590D06">
              <w:rPr>
                <w:rFonts w:ascii="Arial" w:eastAsia="新細明體" w:hAnsi="Arial" w:hint="eastAsia"/>
              </w:rPr>
              <w:t>四、男性需附退伍令</w:t>
            </w:r>
          </w:p>
          <w:p w:rsidR="00590D06" w:rsidRPr="00590D06" w:rsidRDefault="00590D06" w:rsidP="00590D06">
            <w:pPr>
              <w:overflowPunct w:val="0"/>
              <w:spacing w:line="360" w:lineRule="exact"/>
              <w:ind w:left="113" w:right="113"/>
              <w:jc w:val="both"/>
              <w:rPr>
                <w:rFonts w:ascii="Arial" w:eastAsia="新細明體" w:hAnsi="Arial"/>
              </w:rPr>
            </w:pPr>
            <w:r w:rsidRPr="00590D06">
              <w:rPr>
                <w:rFonts w:ascii="Arial" w:eastAsia="新細明體" w:hAnsi="Arial" w:hint="eastAsia"/>
              </w:rPr>
              <w:t>三、戶口名簿</w:t>
            </w:r>
          </w:p>
          <w:p w:rsidR="00590D06" w:rsidRPr="00590D06" w:rsidRDefault="00590D06" w:rsidP="00590D06">
            <w:pPr>
              <w:overflowPunct w:val="0"/>
              <w:spacing w:line="360" w:lineRule="exact"/>
              <w:ind w:left="113" w:right="113"/>
              <w:jc w:val="both"/>
              <w:rPr>
                <w:rFonts w:ascii="Arial" w:eastAsia="新細明體" w:hAnsi="Arial"/>
              </w:rPr>
            </w:pPr>
            <w:proofErr w:type="gramStart"/>
            <w:r w:rsidRPr="00590D06">
              <w:rPr>
                <w:rFonts w:ascii="Arial" w:eastAsia="新細明體" w:hAnsi="Arial" w:hint="eastAsia"/>
              </w:rPr>
              <w:t>二、二吋近照</w:t>
            </w:r>
            <w:proofErr w:type="gramEnd"/>
            <w:r w:rsidRPr="00590D06">
              <w:rPr>
                <w:rFonts w:ascii="Arial" w:eastAsia="新細明體" w:hAnsi="Arial" w:hint="eastAsia"/>
              </w:rPr>
              <w:t>三張</w:t>
            </w:r>
          </w:p>
          <w:p w:rsidR="00590D06" w:rsidRPr="00590D06" w:rsidRDefault="00590D06" w:rsidP="00590D06">
            <w:pPr>
              <w:overflowPunct w:val="0"/>
              <w:spacing w:line="360" w:lineRule="exact"/>
              <w:ind w:left="113" w:right="113"/>
              <w:jc w:val="both"/>
              <w:rPr>
                <w:rFonts w:ascii="Arial" w:eastAsia="新細明體" w:hAnsi="Arial"/>
              </w:rPr>
            </w:pPr>
            <w:r w:rsidRPr="00590D06">
              <w:rPr>
                <w:rFonts w:ascii="Arial" w:eastAsia="新細明體" w:hAnsi="Arial" w:hint="eastAsia"/>
              </w:rPr>
              <w:t>一、身分證正本</w:t>
            </w:r>
          </w:p>
        </w:tc>
      </w:tr>
    </w:tbl>
    <w:p w:rsidR="00590D06" w:rsidRPr="004A1C15" w:rsidRDefault="00590D06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4A1C15" w:rsidRPr="004A1C15" w:rsidRDefault="004A1C15" w:rsidP="004A1C15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4A1C15">
        <w:rPr>
          <w:rFonts w:ascii="Arial" w:eastAsia="標楷體" w:hAnsi="Arial" w:hint="eastAsia"/>
        </w:rPr>
        <w:t>整合服務（</w:t>
      </w:r>
      <w:r w:rsidRPr="004A1C15">
        <w:rPr>
          <w:rFonts w:ascii="Arial" w:eastAsia="標楷體" w:hAnsi="Arial"/>
        </w:rPr>
        <w:t>Integration</w:t>
      </w:r>
      <w:r w:rsidRPr="004A1C15">
        <w:rPr>
          <w:rFonts w:ascii="Arial" w:eastAsia="標楷體" w:hAnsi="Arial" w:hint="eastAsia"/>
        </w:rPr>
        <w:t>）的主要工作，是要使分散系統與現有的有線網路能作訊息交換，即作傳輸媒介與位址的轉換。此工作主角，</w:t>
      </w:r>
      <w:proofErr w:type="gramStart"/>
      <w:r w:rsidRPr="004A1C15">
        <w:rPr>
          <w:rFonts w:ascii="Arial" w:eastAsia="標楷體" w:hAnsi="Arial" w:hint="eastAsia"/>
        </w:rPr>
        <w:t>使落在埠接</w:t>
      </w:r>
      <w:proofErr w:type="gramEnd"/>
      <w:r w:rsidRPr="004A1C15">
        <w:rPr>
          <w:rFonts w:ascii="Arial" w:eastAsia="標楷體" w:hAnsi="Arial" w:hint="eastAsia"/>
        </w:rPr>
        <w:t>器（</w:t>
      </w:r>
      <w:r w:rsidRPr="004A1C15">
        <w:rPr>
          <w:rFonts w:ascii="Arial" w:eastAsia="標楷體" w:hAnsi="Arial"/>
        </w:rPr>
        <w:t>Portal</w:t>
      </w:r>
      <w:r w:rsidRPr="004A1C15">
        <w:rPr>
          <w:rFonts w:ascii="Arial" w:eastAsia="標楷體" w:hAnsi="Arial" w:hint="eastAsia"/>
        </w:rPr>
        <w:t>）上。分送服務（</w:t>
      </w:r>
      <w:r w:rsidRPr="004A1C15">
        <w:rPr>
          <w:rFonts w:ascii="Arial" w:eastAsia="標楷體" w:hAnsi="Arial"/>
        </w:rPr>
        <w:t>Distribution</w:t>
      </w:r>
      <w:r w:rsidRPr="004A1C15">
        <w:rPr>
          <w:rFonts w:ascii="Arial" w:eastAsia="標楷體" w:hAnsi="Arial" w:hint="eastAsia"/>
        </w:rPr>
        <w:t>）的主要工作，是將分散系統內的資料送至正確的</w:t>
      </w:r>
      <w:proofErr w:type="gramStart"/>
      <w:r w:rsidRPr="004A1C15">
        <w:rPr>
          <w:rFonts w:ascii="Arial" w:eastAsia="標楷體" w:hAnsi="Arial" w:hint="eastAsia"/>
        </w:rPr>
        <w:t>位址上</w:t>
      </w:r>
      <w:proofErr w:type="gramEnd"/>
      <w:r w:rsidRPr="004A1C15">
        <w:rPr>
          <w:rFonts w:ascii="Arial" w:eastAsia="標楷體" w:hAnsi="Arial" w:hint="eastAsia"/>
        </w:rPr>
        <w:t>。在</w:t>
      </w:r>
      <w:r w:rsidRPr="004A1C15">
        <w:rPr>
          <w:rFonts w:ascii="Arial" w:eastAsia="標楷體" w:hAnsi="Arial"/>
        </w:rPr>
        <w:t xml:space="preserve">IEEE 802.11 </w:t>
      </w:r>
      <w:r w:rsidRPr="004A1C15">
        <w:rPr>
          <w:rFonts w:ascii="Arial" w:eastAsia="標楷體" w:hAnsi="Arial" w:hint="eastAsia"/>
        </w:rPr>
        <w:t>標準上，並未訂出此服務要如何將分散系統內的資料送至正確的</w:t>
      </w:r>
      <w:proofErr w:type="gramStart"/>
      <w:r w:rsidRPr="004A1C15">
        <w:rPr>
          <w:rFonts w:ascii="Arial" w:eastAsia="標楷體" w:hAnsi="Arial" w:hint="eastAsia"/>
        </w:rPr>
        <w:t>位址上</w:t>
      </w:r>
      <w:proofErr w:type="gramEnd"/>
      <w:r w:rsidRPr="004A1C15">
        <w:rPr>
          <w:rFonts w:ascii="Arial" w:eastAsia="標楷體" w:hAnsi="Arial" w:hint="eastAsia"/>
        </w:rPr>
        <w:t>，但說明了要達成此工作所需必要資訊，這些資訊將由聯結服務（</w:t>
      </w:r>
      <w:r w:rsidRPr="004A1C15">
        <w:rPr>
          <w:rFonts w:ascii="Arial" w:eastAsia="標楷體" w:hAnsi="Arial"/>
        </w:rPr>
        <w:t>Association</w:t>
      </w:r>
      <w:r w:rsidRPr="004A1C15">
        <w:rPr>
          <w:rFonts w:ascii="Arial" w:eastAsia="標楷體" w:hAnsi="Arial" w:hint="eastAsia"/>
        </w:rPr>
        <w:t>）、取消聯結服務（</w:t>
      </w:r>
      <w:r w:rsidRPr="004A1C15">
        <w:rPr>
          <w:rFonts w:ascii="Arial" w:eastAsia="標楷體" w:hAnsi="Arial"/>
        </w:rPr>
        <w:t>Disassociation</w:t>
      </w:r>
      <w:r w:rsidRPr="004A1C15">
        <w:rPr>
          <w:rFonts w:ascii="Arial" w:eastAsia="標楷體" w:hAnsi="Arial" w:hint="eastAsia"/>
        </w:rPr>
        <w:t>）、重新聯結服務（</w:t>
      </w:r>
      <w:proofErr w:type="spellStart"/>
      <w:r w:rsidRPr="004A1C15">
        <w:rPr>
          <w:rFonts w:ascii="Arial" w:eastAsia="標楷體" w:hAnsi="Arial"/>
        </w:rPr>
        <w:t>Reassociation</w:t>
      </w:r>
      <w:proofErr w:type="spellEnd"/>
      <w:r w:rsidRPr="004A1C15">
        <w:rPr>
          <w:rFonts w:ascii="Arial" w:eastAsia="標楷體" w:hAnsi="Arial" w:hint="eastAsia"/>
        </w:rPr>
        <w:t>）等來提供。</w:t>
      </w:r>
    </w:p>
    <w:p w:rsidR="004A1C15" w:rsidRPr="004A1C15" w:rsidRDefault="004A1C15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F84D03" w:rsidRDefault="004A1C15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4A1C15">
        <w:rPr>
          <w:rFonts w:ascii="Arial" w:eastAsia="新細明體" w:hAnsi="Arial"/>
        </w:rPr>
        <w:t>在說明聯結服務之前，先了解在</w:t>
      </w:r>
      <w:r w:rsidRPr="004A1C15">
        <w:rPr>
          <w:rFonts w:ascii="Arial" w:eastAsia="新細明體" w:hAnsi="Arial"/>
        </w:rPr>
        <w:t>IEEE 802.11</w:t>
      </w:r>
      <w:r w:rsidRPr="004A1C15">
        <w:rPr>
          <w:rFonts w:ascii="Arial" w:eastAsia="新細明體" w:hAnsi="Arial"/>
        </w:rPr>
        <w:t>移動性的定義是需要的。在</w:t>
      </w:r>
      <w:r w:rsidRPr="004A1C15">
        <w:rPr>
          <w:rFonts w:ascii="Arial" w:eastAsia="新細明體" w:hAnsi="Arial"/>
        </w:rPr>
        <w:t>IEEE 802.11</w:t>
      </w:r>
      <w:r w:rsidRPr="004A1C15">
        <w:rPr>
          <w:rFonts w:ascii="Arial" w:eastAsia="新細明體" w:hAnsi="Arial"/>
        </w:rPr>
        <w:t>標準中，規範了三種工作站的移動性，分述如下：</w:t>
      </w:r>
    </w:p>
    <w:p w:rsidR="00F84D03" w:rsidRDefault="004A1C15" w:rsidP="008A2DBA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新細明體" w:hAnsi="Arial"/>
        </w:rPr>
      </w:pPr>
      <w:r w:rsidRPr="004A1C15">
        <w:rPr>
          <w:rFonts w:ascii="Arial" w:eastAsia="新細明體" w:hAnsi="Arial"/>
        </w:rPr>
        <w:t>一、無變動的移動（</w:t>
      </w:r>
      <w:r w:rsidRPr="004A1C15">
        <w:rPr>
          <w:rFonts w:ascii="Arial" w:eastAsia="新細明體" w:hAnsi="Arial"/>
        </w:rPr>
        <w:t>No-transition</w:t>
      </w:r>
      <w:r w:rsidRPr="004A1C15">
        <w:rPr>
          <w:rFonts w:ascii="Arial" w:eastAsia="新細明體" w:hAnsi="Arial"/>
        </w:rPr>
        <w:t>）：在此性質上，可區分成兩種形式，一為靜止形式（</w:t>
      </w:r>
      <w:r w:rsidRPr="004A1C15">
        <w:rPr>
          <w:rFonts w:ascii="Arial" w:eastAsia="新細明體" w:hAnsi="Arial"/>
        </w:rPr>
        <w:t>static</w:t>
      </w:r>
      <w:r w:rsidRPr="004A1C15">
        <w:rPr>
          <w:rFonts w:ascii="Arial" w:eastAsia="新細明體" w:hAnsi="Arial"/>
        </w:rPr>
        <w:t>），即工作站是靜止不移動，像使用個人電腦一樣，只在固定地點使用；一為基本服務區內的移動（</w:t>
      </w:r>
      <w:r w:rsidRPr="004A1C15">
        <w:rPr>
          <w:rFonts w:ascii="Arial" w:eastAsia="新細明體" w:hAnsi="Arial"/>
        </w:rPr>
        <w:t>Local Movement</w:t>
      </w:r>
      <w:r w:rsidRPr="004A1C15">
        <w:rPr>
          <w:rFonts w:ascii="Arial" w:eastAsia="新細明體" w:hAnsi="Arial"/>
        </w:rPr>
        <w:t>），即工作站只在</w:t>
      </w:r>
      <w:proofErr w:type="gramStart"/>
      <w:r w:rsidRPr="004A1C15">
        <w:rPr>
          <w:rFonts w:ascii="Arial" w:eastAsia="新細明體" w:hAnsi="Arial"/>
        </w:rPr>
        <w:t>一</w:t>
      </w:r>
      <w:proofErr w:type="gramEnd"/>
      <w:r w:rsidRPr="004A1C15">
        <w:rPr>
          <w:rFonts w:ascii="Arial" w:eastAsia="新細明體" w:hAnsi="Arial"/>
        </w:rPr>
        <w:t>基本服務區內移動。</w:t>
      </w:r>
    </w:p>
    <w:p w:rsidR="008A2DBA" w:rsidRDefault="004A1C15" w:rsidP="008A2DBA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新細明體" w:hAnsi="Arial"/>
        </w:rPr>
      </w:pPr>
      <w:r w:rsidRPr="004A1C15">
        <w:rPr>
          <w:rFonts w:ascii="Arial" w:eastAsia="新細明體" w:hAnsi="Arial"/>
        </w:rPr>
        <w:t>二、跨基本服務區的移動（</w:t>
      </w:r>
      <w:r w:rsidRPr="004A1C15">
        <w:rPr>
          <w:rFonts w:ascii="Arial" w:eastAsia="新細明體" w:hAnsi="Arial"/>
        </w:rPr>
        <w:t>BSS-Transition</w:t>
      </w:r>
      <w:r w:rsidRPr="004A1C15">
        <w:rPr>
          <w:rFonts w:ascii="Arial" w:eastAsia="新細明體" w:hAnsi="Arial"/>
        </w:rPr>
        <w:t>）：工作站由一基本服務區移動至另一基本服務區，而這兩</w:t>
      </w:r>
      <w:proofErr w:type="gramStart"/>
      <w:r w:rsidRPr="004A1C15">
        <w:rPr>
          <w:rFonts w:ascii="Arial" w:eastAsia="新細明體" w:hAnsi="Arial"/>
        </w:rPr>
        <w:t>個</w:t>
      </w:r>
      <w:proofErr w:type="gramEnd"/>
      <w:r w:rsidRPr="004A1C15">
        <w:rPr>
          <w:rFonts w:ascii="Arial" w:eastAsia="新細明體" w:hAnsi="Arial"/>
        </w:rPr>
        <w:t>基本服務區仍屬於同一</w:t>
      </w:r>
      <w:proofErr w:type="gramStart"/>
      <w:r w:rsidRPr="004A1C15">
        <w:rPr>
          <w:rFonts w:ascii="Arial" w:eastAsia="新細明體" w:hAnsi="Arial"/>
        </w:rPr>
        <w:t>個</w:t>
      </w:r>
      <w:proofErr w:type="gramEnd"/>
      <w:r w:rsidRPr="004A1C15">
        <w:rPr>
          <w:rFonts w:ascii="Arial" w:eastAsia="新細明體" w:hAnsi="Arial"/>
        </w:rPr>
        <w:t>延展服務區。</w:t>
      </w:r>
    </w:p>
    <w:p w:rsidR="004A1C15" w:rsidRPr="004A1C15" w:rsidRDefault="004A1C15" w:rsidP="008A2DBA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新細明體" w:hAnsi="Arial"/>
        </w:rPr>
      </w:pPr>
      <w:r w:rsidRPr="004A1C15">
        <w:rPr>
          <w:rFonts w:ascii="Arial" w:eastAsia="新細明體" w:hAnsi="Arial"/>
        </w:rPr>
        <w:t>三、跨延展服務區的移動（</w:t>
      </w:r>
      <w:r w:rsidRPr="004A1C15">
        <w:rPr>
          <w:rFonts w:ascii="Arial" w:eastAsia="新細明體" w:hAnsi="Arial"/>
        </w:rPr>
        <w:t>ESS-Transition</w:t>
      </w:r>
      <w:r w:rsidRPr="004A1C15">
        <w:rPr>
          <w:rFonts w:ascii="Arial" w:eastAsia="新細明體" w:hAnsi="Arial"/>
        </w:rPr>
        <w:t>）：工作站由一基本服務區移動至另一基本服務區，而這兩</w:t>
      </w:r>
      <w:proofErr w:type="gramStart"/>
      <w:r w:rsidRPr="004A1C15">
        <w:rPr>
          <w:rFonts w:ascii="Arial" w:eastAsia="新細明體" w:hAnsi="Arial"/>
        </w:rPr>
        <w:t>個</w:t>
      </w:r>
      <w:proofErr w:type="gramEnd"/>
      <w:r w:rsidRPr="004A1C15">
        <w:rPr>
          <w:rFonts w:ascii="Arial" w:eastAsia="新細明體" w:hAnsi="Arial"/>
        </w:rPr>
        <w:t>基本服務區是屬於不同的延展服務區。</w:t>
      </w:r>
    </w:p>
    <w:p w:rsidR="004A1C15" w:rsidRPr="004A1C15" w:rsidRDefault="004A1C15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EA3044" w:rsidRPr="004A1C15" w:rsidRDefault="00276413" w:rsidP="004A1C15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sectPr w:rsidR="00EA3044" w:rsidRPr="004A1C15" w:rsidSect="004A1C15">
      <w:headerReference w:type="default" r:id="rId9"/>
      <w:footerReference w:type="default" r:id="rId10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413" w:rsidRDefault="00276413" w:rsidP="004A1C15">
      <w:r>
        <w:separator/>
      </w:r>
    </w:p>
  </w:endnote>
  <w:endnote w:type="continuationSeparator" w:id="0">
    <w:p w:rsidR="00276413" w:rsidRDefault="00276413" w:rsidP="004A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C15" w:rsidRDefault="004A1C15">
    <w:pPr>
      <w:pStyle w:val="a5"/>
    </w:pPr>
    <w:r w:rsidRPr="004A1C15">
      <w:rPr>
        <w:rFonts w:ascii="Times New Roman" w:eastAsia="新細明體" w:hAnsi="Times New Roman" w:hint="eastAsia"/>
      </w:rPr>
      <w:t>2017/05/24</w:t>
    </w:r>
    <w:r w:rsidRPr="004A1C15">
      <w:rPr>
        <w:rFonts w:ascii="Times New Roman" w:eastAsia="新細明體" w:hAnsi="Times New Roman"/>
      </w:rPr>
      <w:ptab w:relativeTo="margin" w:alignment="center" w:leader="none"/>
    </w:r>
    <w:r w:rsidRPr="004A1C15">
      <w:rPr>
        <w:rFonts w:ascii="Times New Roman" w:eastAsia="新細明體" w:hAnsi="Times New Roman" w:hint="eastAsia"/>
      </w:rPr>
      <w:t>第</w:t>
    </w:r>
    <w:r w:rsidRPr="004A1C15">
      <w:rPr>
        <w:rFonts w:ascii="Times New Roman" w:eastAsia="新細明體" w:hAnsi="Times New Roman"/>
      </w:rPr>
      <w:fldChar w:fldCharType="begin"/>
    </w:r>
    <w:r w:rsidRPr="004A1C15">
      <w:rPr>
        <w:rFonts w:ascii="Times New Roman" w:eastAsia="新細明體" w:hAnsi="Times New Roman"/>
      </w:rPr>
      <w:instrText>PAGE   \* MERGEFORMAT</w:instrText>
    </w:r>
    <w:r w:rsidRPr="004A1C15">
      <w:rPr>
        <w:rFonts w:ascii="Times New Roman" w:eastAsia="新細明體" w:hAnsi="Times New Roman"/>
      </w:rPr>
      <w:fldChar w:fldCharType="separate"/>
    </w:r>
    <w:r w:rsidR="00A34646" w:rsidRPr="00A34646">
      <w:rPr>
        <w:rFonts w:ascii="Times New Roman" w:eastAsia="新細明體" w:hAnsi="Times New Roman"/>
        <w:noProof/>
        <w:lang w:val="zh-TW"/>
      </w:rPr>
      <w:t>2</w:t>
    </w:r>
    <w:r w:rsidRPr="004A1C15">
      <w:rPr>
        <w:rFonts w:ascii="Times New Roman" w:eastAsia="新細明體" w:hAnsi="Times New Roman"/>
      </w:rPr>
      <w:fldChar w:fldCharType="end"/>
    </w:r>
    <w:r w:rsidRPr="004A1C15">
      <w:rPr>
        <w:rFonts w:ascii="Times New Roman" w:eastAsia="新細明體" w:hAnsi="Times New Roman"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413" w:rsidRDefault="00276413" w:rsidP="004A1C15">
      <w:r>
        <w:separator/>
      </w:r>
    </w:p>
  </w:footnote>
  <w:footnote w:type="continuationSeparator" w:id="0">
    <w:p w:rsidR="00276413" w:rsidRDefault="00276413" w:rsidP="004A1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C15" w:rsidRPr="004A1C15" w:rsidRDefault="004A1C15">
    <w:pPr>
      <w:pStyle w:val="a3"/>
      <w:rPr>
        <w:rFonts w:ascii="Times New Roman" w:eastAsia="新細明體" w:hAnsi="Times New Roman"/>
      </w:rPr>
    </w:pPr>
    <w:r w:rsidRPr="004A1C15">
      <w:rPr>
        <w:rFonts w:ascii="Times New Roman" w:eastAsia="新細明體" w:hAnsi="Times New Roman" w:hint="eastAsia"/>
      </w:rPr>
      <w:t>123456789</w:t>
    </w:r>
    <w:r w:rsidRPr="004A1C15">
      <w:rPr>
        <w:rFonts w:ascii="Times New Roman" w:eastAsia="新細明體" w:hAnsi="Times New Roman"/>
      </w:rPr>
      <w:ptab w:relativeTo="margin" w:alignment="center" w:leader="none"/>
    </w:r>
    <w:r w:rsidRPr="004A1C15">
      <w:rPr>
        <w:rFonts w:ascii="Times New Roman" w:eastAsia="新細明體" w:hAnsi="Times New Roman" w:hint="eastAsia"/>
      </w:rPr>
      <w:t>蔡德龍</w:t>
    </w:r>
    <w:r w:rsidRPr="004A1C15">
      <w:rPr>
        <w:rFonts w:ascii="Times New Roman" w:eastAsia="新細明體" w:hAnsi="Times New Roman"/>
      </w:rPr>
      <w:ptab w:relativeTo="margin" w:alignment="right" w:leader="none"/>
    </w:r>
    <w:r w:rsidRPr="004A1C15">
      <w:rPr>
        <w:rFonts w:ascii="Times New Roman" w:eastAsia="新細明體" w:hAnsi="Times New Roman" w:hint="eastAsia"/>
      </w:rPr>
      <w:t>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15"/>
    <w:rsid w:val="001911FD"/>
    <w:rsid w:val="00276413"/>
    <w:rsid w:val="00342CD1"/>
    <w:rsid w:val="003A72BB"/>
    <w:rsid w:val="004A1C15"/>
    <w:rsid w:val="00590D06"/>
    <w:rsid w:val="00806890"/>
    <w:rsid w:val="008A2DBA"/>
    <w:rsid w:val="00A34646"/>
    <w:rsid w:val="00BB1A7B"/>
    <w:rsid w:val="00D02C60"/>
    <w:rsid w:val="00F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1C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1C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1C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1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1C15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4A1C15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590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1C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1C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1C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1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1C15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4A1C15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590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7E8EA-4DFD-4BDD-AC3C-90D4376C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MD780</cp:lastModifiedBy>
  <cp:revision>4</cp:revision>
  <dcterms:created xsi:type="dcterms:W3CDTF">2017-05-25T01:19:00Z</dcterms:created>
  <dcterms:modified xsi:type="dcterms:W3CDTF">2017-05-25T02:33:00Z</dcterms:modified>
</cp:coreProperties>
</file>