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spacing w:lineRule="auto" w:line="36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Style26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26"/>
        <w:jc w:val="center"/>
        <w:rPr/>
      </w:pPr>
      <w:r>
        <w:rPr/>
        <w:t>«САНКТ-ПЕТЕРБУРГСКИЙ ГОСУДАРСТВЕННЫЙ УНИВЕРСИТЕТ</w:t>
      </w:r>
    </w:p>
    <w:p>
      <w:pPr>
        <w:pStyle w:val="Style26"/>
        <w:jc w:val="center"/>
        <w:rPr/>
      </w:pPr>
      <w:r>
        <w:rPr/>
        <w:t>АЭРОКОСМИЧЕСКОГО ПРИБОРОСТРОЕНИЯ»</w:t>
      </w:r>
    </w:p>
    <w:p>
      <w:pPr>
        <w:pStyle w:val="Style26"/>
        <w:jc w:val="center"/>
        <w:rPr/>
      </w:pPr>
      <w:r>
        <w:rPr/>
      </w:r>
    </w:p>
    <w:p>
      <w:pPr>
        <w:pStyle w:val="Style26"/>
        <w:jc w:val="center"/>
        <w:rPr/>
      </w:pPr>
      <w:r>
        <w:rPr/>
        <w:t>КАФЕДРА КОМПЬЮТЕРНЫХ ТЕХНОЛОГИЙ</w:t>
      </w:r>
    </w:p>
    <w:p>
      <w:pPr>
        <w:pStyle w:val="Style26"/>
        <w:jc w:val="center"/>
        <w:rPr/>
      </w:pPr>
      <w:r>
        <w:rPr/>
        <w:t>И ПРОГРАММНОЙ ИНЖЕНЕРИИ (КАФЕДРА №43)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3"/>
        <w:gridCol w:w="1702"/>
        <w:gridCol w:w="4100"/>
      </w:tblGrid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ind w:left="-106" w:right="-107" w:hanging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rPr/>
      </w:pPr>
      <w:r>
        <w:rPr/>
        <w:t>ПРЕПОДАВАТЕЛЬ:</w:t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8"/>
        <w:gridCol w:w="283"/>
        <w:gridCol w:w="1702"/>
        <w:gridCol w:w="284"/>
        <w:gridCol w:w="1419"/>
        <w:gridCol w:w="282"/>
        <w:gridCol w:w="2411"/>
      </w:tblGrid>
      <w:tr>
        <w:trPr/>
        <w:tc>
          <w:tcPr>
            <w:tcW w:w="297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/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Е. В. Павлов</w:t>
            </w:r>
          </w:p>
        </w:tc>
      </w:tr>
      <w:tr>
        <w:trPr/>
        <w:tc>
          <w:tcPr>
            <w:tcW w:w="297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№2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«ОПИСАНИЕ ВЗАИМОДЕЙСТВИЯ ПОЛЬЗОВАТЕЛЯ И СИСТЕМЫ.</w:t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ВАРИАНТА ИСПОЛЬЗОВАНИЯ»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7"/>
        <w:gridCol w:w="1419"/>
        <w:gridCol w:w="283"/>
        <w:gridCol w:w="2410"/>
      </w:tblGrid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РАБОТУ ВЫПОЛНИЛ (-А) СТУДЕНТ (-КА):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4936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highlight w:val="darkGray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Д.В. Петровнина</w:t>
            </w:r>
          </w:p>
        </w:tc>
      </w:tr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71"/>
        <w:gridCol w:w="288"/>
        <w:gridCol w:w="1728"/>
        <w:gridCol w:w="289"/>
        <w:gridCol w:w="1584"/>
      </w:tblGrid>
      <w:tr>
        <w:trPr/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10.11.2021</w:t>
            </w:r>
          </w:p>
        </w:tc>
      </w:tr>
      <w:tr>
        <w:trPr/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</w: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Style27"/>
        <w:jc w:val="center"/>
        <w:rPr/>
      </w:pPr>
      <w:r>
        <w:rPr/>
        <w:t>Санкт-Петербург 2021</w:t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bookmarkStart w:id="0" w:name="_Toc52731292"/>
      <w:r>
        <w:rPr>
          <w:sz w:val="24"/>
          <w:szCs w:val="24"/>
        </w:rPr>
        <w:t>ВВЕДЕНИЕ</w:t>
      </w:r>
      <w:bookmarkEnd w:id="0"/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Варианты использования предназначены в первую очередь для определения функциональных требований к системе и  управляют всем процессом разработки. Основные виды деятельности такие как анализ, проектирование и тестирование выполняются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Во время анализа и проектирования варианты использования позволяют понять, каким образом результаты, которые хочет получить пользователь, влияют на архитектуру системы и как должны вести себя компоненты системы, для того чтобы реализовать нужную для пользователя функциональность.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>
          <w:b/>
          <w:i/>
        </w:rPr>
        <w:t>Цель работы</w:t>
      </w:r>
      <w:r>
        <w:rPr/>
        <w:t xml:space="preserve"> заключается в изучение одного из способов описания взаимодействия пользователя с системой и получение практических навыков составления спецификации варианта использования</w:t>
      </w:r>
    </w:p>
    <w:p>
      <w:pPr>
        <w:pStyle w:val="NoSpacing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 xml:space="preserve">Задачи лабораторной работы. 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Для достижения поставленной в лабораторной работе цели необходимо для заданной предметной области составить спецификацию не менее четырех вариантов использования с учетом следующих требований: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 xml:space="preserve">Варианты использования, контекст которых заключается в добавлении </w:t>
      </w:r>
      <w:r>
        <w:rPr>
          <w:b/>
          <w:i/>
        </w:rPr>
        <w:t>ключевых объектов</w:t>
      </w:r>
      <w:r>
        <w:rPr/>
        <w:t xml:space="preserve"> в систему, имеют приоритет в плане выбора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Выбор остальных вариантов использования на усмотрение студента;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Обязательные элементы спецификации: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Уникальный идентификатор и наименование;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Автор спецификации и дата создания;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действующие лица;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Краткое описание;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Приоритет;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Предварительные условия (ноль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Выходные условия (одно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альтернативные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Метки начала альтернативных потоков и вызова исключений.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>Индивидуальный вариант задания:</w:t>
      </w:r>
    </w:p>
    <w:tbl>
      <w:tblPr>
        <w:tblStyle w:val="a9"/>
        <w:tblW w:w="8789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9"/>
        <w:gridCol w:w="8079"/>
      </w:tblGrid>
      <w:tr>
        <w:trPr>
          <w:trHeight w:val="34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highlight w:val="darkGray"/>
                <w:lang w:val="ru-RU" w:eastAsia="ru-RU" w:bidi="ar-SA"/>
              </w:rPr>
              <w:t>117</w:t>
            </w:r>
          </w:p>
        </w:tc>
        <w:tc>
          <w:tcPr>
            <w:tcW w:w="8079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highlight w:val="darkGray"/>
                <w:lang w:val="ru-RU" w:eastAsia="ru-RU" w:bidi="ar-SA"/>
              </w:rPr>
              <w:t>Электронный тематический журнал манги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28"/>
        <w:numPr>
          <w:ilvl w:val="3"/>
          <w:numId w:val="2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Спецификация вариантов использования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спецификации. Ключевыми объектами для заданной предметной области являются: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>
          <w:highlight w:val="darkGray"/>
        </w:rPr>
      </w:pPr>
      <w:r>
        <w:rPr>
          <w:highlight w:val="darkGray"/>
        </w:rPr>
        <w:t>Номер журнала;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>
          <w:highlight w:val="darkGray"/>
        </w:rPr>
      </w:pPr>
      <w:r>
        <w:rPr>
          <w:highlight w:val="darkGray"/>
        </w:rPr>
        <w:t>Манга;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rPr>
          <w:highlight w:val="darkGray"/>
        </w:rPr>
      </w:pPr>
      <w:r>
        <w:rPr>
          <w:highlight w:val="darkGray"/>
        </w:rPr>
        <w:t>Заказ печатной версии журнала (в системе можно заказать печатную версию журнала у издателя; покупка электронной версии недоступна или возможна только через другую платформу)</w:t>
      </w:r>
    </w:p>
    <w:p>
      <w:pPr>
        <w:pStyle w:val="NoSpacing"/>
        <w:spacing w:lineRule="auto" w:line="360"/>
        <w:ind w:firstLine="708"/>
        <w:rPr/>
      </w:pPr>
      <w:r>
        <w:rPr>
          <w:highlight w:val="darkGray"/>
        </w:rPr>
        <w:t>Таким образом, на рис. 1 представлены выбранные ВИ для спецификации с учетом указанного требования.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3813810" cy="374396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360"/>
        <w:jc w:val="center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Рисунок 1 — Выбранные для спецификации варианты использования</w:t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>
          <w:highlight w:val="darkCyan"/>
        </w:rPr>
        <w:t xml:space="preserve">Рисунок 1 не является обязательным, однако в документации по типу </w:t>
      </w:r>
      <w:r>
        <w:rPr>
          <w:highlight w:val="darkCyan"/>
          <w:lang w:val="en-US"/>
        </w:rPr>
        <w:t>SRS</w:t>
      </w:r>
      <w:r>
        <w:rPr>
          <w:highlight w:val="darkCyan"/>
        </w:rPr>
        <w:t xml:space="preserve"> спецификацию вариантов использования, как правило, сопровождают небольшими фрагментами диаграммы вариантов использования — УДАЛИТЕ данное пояснение из отчета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sz w:val="24"/>
          <w:szCs w:val="24"/>
          <w:highlight w:val="darkGray"/>
        </w:rPr>
        <w:t>Бесплатный ознакомительный просмотр манги</w:t>
      </w:r>
      <w:r>
        <w:rPr>
          <w:sz w:val="24"/>
          <w:szCs w:val="24"/>
        </w:rPr>
        <w:t>»</w:t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>
          <w:highlight w:val="darkCyan"/>
        </w:rPr>
        <w:t>Подробный пример спецификации представлен для следующего ВИ, обратите внимание на принятую нумерацию, которая привязывается к номеру ВИ: первая цифра основного потока «2.0 Заказ печатной продукции» совпадает с номером ВИ (</w:t>
      </w:r>
      <w:r>
        <w:rPr>
          <w:highlight w:val="darkCyan"/>
          <w:lang w:val="en-US"/>
        </w:rPr>
        <w:t>UC</w:t>
      </w:r>
      <w:r>
        <w:rPr>
          <w:highlight w:val="darkCyan"/>
        </w:rPr>
        <w:t>-02). Альтернативные потоки к нему имеют номера 2.1 и 2.2. Исключения имеют порядковые номера Е1, Е2, и Е3, а также метку потока, где они будут вызваны. Метки начала альтернативных потоков и вызова исключений необходимо задать в явно виде — УДАЛИТЕ данный абзац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666"/>
      </w:tblGrid>
      <w:tr>
        <w:trPr>
          <w:trHeight w:val="454" w:hRule="atLeast"/>
        </w:trPr>
        <w:tc>
          <w:tcPr>
            <w:tcW w:w="2693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6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UC-1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Бесплатный ознакомительный просмотр манги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Посетитель сайта, клиент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sz w:val="24"/>
          <w:szCs w:val="24"/>
          <w:highlight w:val="darkGray"/>
        </w:rPr>
        <w:t>Заказ печатной версии журнала</w:t>
      </w:r>
      <w:r>
        <w:rPr>
          <w:sz w:val="24"/>
          <w:szCs w:val="24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666"/>
      </w:tblGrid>
      <w:tr>
        <w:trPr>
          <w:trHeight w:val="454" w:hRule="atLeast"/>
        </w:trPr>
        <w:tc>
          <w:tcPr>
            <w:tcW w:w="2693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6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Заказ печатной версии журнала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Евгений Павлов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20.10.2021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Клиент, посетитель сайта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Сервис электронных платежей, менеджер заказов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Клиент обращается к системе, просматривает список изданных журналов за определённый период, выбирает номер журнала и осуществляет заказ печатной версии для самовывоза непосредственно из представительства издателя или выбирает доставку в определённый пункт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Клиент выражает намерение заказать печатную продукцию посредством взаимодействия с элементом интерфейса «Заказать печатную версию журнала»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-1 Клиент выполнил вход в систему (в противном случае форма для заказа будет пустой)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-2 БД номеров журнала в данный момент доступна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-3 Номер журнала доступен для осуществления заказа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-1 Заказ сохранён в БД с состоянием «Принят»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-2 Список доступных номеров журнала обновлен с учетом элементов данного заказа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-3 Система выводит подробную информацию о заказе на экран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-4 Система отправляет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SMS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-уведомление на указанный в заказе номер телефона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2.0 Заказ печатной продукции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Клиент просматривает список изданных номеров журнала за определённый период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 Система отображает список доступных для заказа номеров журнала и специальные предложения (акции)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 Клиент выбирает один или более журналов из списка и перемещает их в корзину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4. В корзине отображается количество выбранных позиций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5. Клиент переходит к оформлению заказа (см. 2.1)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6. Система просит проверить заполненную форму (регистрационные данные) и скорректировать количество печатной продукции для заказа (см. 2.2)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7. Клиент подтверждает, что оформление заказа завершено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8. Система отображает номера журналов в заказе с указанием стоимости отдельной позиции и общую сумму заказа, включая налог и стоимость доставки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9. Клиент подтверждает заказ или делает запрос на изменение заказа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10. Система выводит возможное время и пункты доставки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11. Клиент выбирает время (из списка) и указывает пункт доставки (см. 2.0 Е1)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12. Клиент указывает метод оплаты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13. Система подтверждает, что заказ принят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14. Система отправляет клиенту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SMS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-сообщение на указанный в заказе номер с подтверждением деталей заказа, включая указания по доставке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15. Система сохраняет заказ в БД, посылает информацию о заказе менеджеру заказов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2.1 Заполнение формы неавторизованным пользователем (посетитель сайта)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просит заполнить форму заказа: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Имя (обязательно)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Телефон (обязательно)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Пункт доставки (обязательно)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Email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Время доставки (если в пункте доставки указано представительство издателя, то время доставки не является обязательным для заполнения)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Комментарий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 Пользователь заполняет все обязательные поля (см. 2.1 Е2)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 Возврат к пункту 6 основного потока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2.2 Заказ нескольких идентичных номеров журнала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Клиент делает запрос на заказ определенного числа идентичных номеров журнала или удаление некоторых позиций (см. 2.2 Е3)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 Возврат к пункту 6 основного потока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2.0 Е1 Нет возможности доставки по указанному адресу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сообщает клиенту, что нет возможности доставки по указанному адресу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2.1 Если клиент отменяет оформление заказа, то система завершает вариант использования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2.2 В противном случае клиент делает запрос на самовывоз непосредственно из представительства издателя, система возвращается к пункту 12 основного потока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2.1 Е2 Клиент некорректно заполнил все обязательные поля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2.1 Клиент вносит необходимые корректировки и возвращается к пункту 6 основного потока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2.2 В противном случае клиент отменяет оформление заказа, система в свою очередь завершает вариант использования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2.2 Е3 Невозможно выполнить заказ на указанное количество одинаковой печатной продукции (номеров журнала)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извещает клиента о максимальном числе одинаковых позиций продукции, на которые она способна принять заказ (доступное количество единиц продукции)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2.1 Клиент изменяет количество единиц продукции и возвращается к пункту 6 основного потока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2.2 В противном случае клиент отменяет оформление заказа, система в свою очередь завершает вариант использования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Клиент должен иметь возможность отменить заказ в любой момент до подтверждения заказа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 Клиент должен иметь возможность просматривать все заказы за последние 24 месяца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Предполагается, что 20% клиентов будут заказывать специальные предложения (номера журналов по акции)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sz w:val="24"/>
          <w:szCs w:val="24"/>
          <w:highlight w:val="darkGray"/>
        </w:rPr>
        <w:t>Добавить мангу</w:t>
      </w:r>
      <w:r>
        <w:rPr>
          <w:sz w:val="24"/>
          <w:szCs w:val="24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666"/>
      </w:tblGrid>
      <w:tr>
        <w:trPr>
          <w:trHeight w:val="454" w:hRule="atLeast"/>
        </w:trPr>
        <w:tc>
          <w:tcPr>
            <w:tcW w:w="2693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6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Добавить мангу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Контент-менеджер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sz w:val="24"/>
          <w:szCs w:val="24"/>
          <w:highlight w:val="darkGray"/>
        </w:rPr>
        <w:t>Добавить номер журнала</w:t>
      </w:r>
      <w:r>
        <w:rPr>
          <w:sz w:val="24"/>
          <w:szCs w:val="24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666"/>
      </w:tblGrid>
      <w:tr>
        <w:trPr>
          <w:trHeight w:val="454" w:hRule="atLeast"/>
        </w:trPr>
        <w:tc>
          <w:tcPr>
            <w:tcW w:w="2693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6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Добавить номер журнала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Контент-менеджер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Клиент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результате выполнения настоящей лабораторной работы был изучен один из способов описания взаимодействия пользователя с системой — спецификация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требованиями задания составлена спецификация для следующих вариантов использования: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/>
      </w:pPr>
      <w:r>
        <w:rPr>
          <w:highlight w:val="darkGray"/>
        </w:rPr>
        <w:t>Бесплатный ознакомительный просмотр манги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/>
      </w:pPr>
      <w:r>
        <w:rPr>
          <w:highlight w:val="darkGray"/>
        </w:rPr>
        <w:t>Заказ печатной версии журнала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/>
      </w:pPr>
      <w:r>
        <w:rPr>
          <w:highlight w:val="darkGray"/>
        </w:rPr>
        <w:t>Добавить мангу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/>
      </w:pPr>
      <w:r>
        <w:rPr>
          <w:highlight w:val="darkGray"/>
        </w:rPr>
        <w:t>Добавить номер журнала</w:t>
      </w:r>
    </w:p>
    <w:p>
      <w:pPr>
        <w:pStyle w:val="NoSpacing"/>
        <w:spacing w:lineRule="auto" w:line="360"/>
        <w:ind w:firstLine="708"/>
        <w:jc w:val="both"/>
        <w:rPr>
          <w:highlight w:val="darkGray"/>
        </w:rPr>
      </w:pPr>
      <w:r>
        <w:rPr>
          <w:highlight w:val="darkGray"/>
        </w:rPr>
      </w:r>
    </w:p>
    <w:p>
      <w:pPr>
        <w:pStyle w:val="NoSpacing"/>
        <w:spacing w:lineRule="auto" w:line="360"/>
        <w:ind w:firstLine="708"/>
        <w:jc w:val="both"/>
        <w:rPr/>
      </w:pPr>
      <w:r>
        <w:rPr/>
        <w:t>При выполнении настоящей работы был не учтен один из важных факторов,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 речь идет о бизнес-правилах, которые не</w:t>
      </w:r>
      <w:bookmarkStart w:id="1" w:name="_GoBack"/>
      <w:bookmarkEnd w:id="1"/>
      <w:r>
        <w:rPr/>
        <w:t xml:space="preserve"> рассматриваются в настоящей работе. </w:t>
        <w:br/>
        <w:t>За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/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rPr/>
        <w:t xml:space="preserve"> </w:t>
      </w:r>
      <w:r>
        <w:rPr>
          <w:lang w:val="en-US"/>
        </w:rPr>
        <w:t>Requirements</w:t>
      </w:r>
      <w:r>
        <w:rPr/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rPr/>
        <w:t>», 2020. — 736 с.: ил.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>
          <w:lang w:val="en-US"/>
        </w:rPr>
        <w:t xml:space="preserve">What is Use Case Specification? </w:t>
      </w:r>
      <w:r>
        <w:rPr/>
        <w:t xml:space="preserve">[Электронный ресурс]. —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Paradigm</w:t>
      </w:r>
      <w:r>
        <w:rPr/>
        <w:t xml:space="preserve">, 2021. — </w:t>
      </w:r>
      <w:r>
        <w:rPr>
          <w:lang w:val="en-US"/>
        </w:rPr>
        <w:t>URL</w:t>
      </w:r>
      <w:r>
        <w:rPr/>
        <w:t xml:space="preserve">: </w:t>
      </w:r>
      <w:r>
        <w:rPr>
          <w:rStyle w:val="Style17"/>
          <w:lang w:val="en-US"/>
        </w:rPr>
        <w:t>https</w:t>
      </w:r>
      <w:r>
        <w:rPr>
          <w:rStyle w:val="Style17"/>
        </w:rPr>
        <w:t>://</w:t>
      </w:r>
      <w:r>
        <w:rPr>
          <w:rStyle w:val="Style17"/>
          <w:lang w:val="en-US"/>
        </w:rPr>
        <w:t>www</w:t>
      </w:r>
      <w:r>
        <w:rPr>
          <w:rStyle w:val="Style17"/>
        </w:rPr>
        <w:t>.</w:t>
      </w:r>
      <w:r>
        <w:rPr>
          <w:rStyle w:val="Style17"/>
          <w:lang w:val="en-US"/>
        </w:rPr>
        <w:t>visual</w:t>
      </w:r>
      <w:r>
        <w:rPr>
          <w:rStyle w:val="Style17"/>
        </w:rPr>
        <w:t>-</w:t>
      </w:r>
      <w:r>
        <w:rPr>
          <w:rStyle w:val="Style17"/>
          <w:lang w:val="en-US"/>
        </w:rPr>
        <w:t>paradigm</w:t>
      </w:r>
      <w:r>
        <w:rPr>
          <w:rStyle w:val="Style17"/>
        </w:rPr>
        <w:t>.</w:t>
      </w:r>
      <w:r>
        <w:rPr>
          <w:rStyle w:val="Style17"/>
          <w:lang w:val="en-US"/>
        </w:rPr>
        <w:t>com</w:t>
      </w:r>
      <w:r>
        <w:rPr>
          <w:rStyle w:val="Style17"/>
        </w:rPr>
        <w:t>/</w:t>
      </w:r>
      <w:r>
        <w:rPr>
          <w:rStyle w:val="Style17"/>
          <w:lang w:val="en-US"/>
        </w:rPr>
        <w:t>guide</w:t>
      </w:r>
      <w:r>
        <w:rPr>
          <w:rStyle w:val="Style17"/>
        </w:rPr>
        <w:t>/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/</w:t>
      </w:r>
      <w:r>
        <w:rPr>
          <w:rStyle w:val="Style17"/>
          <w:lang w:val="en-US"/>
        </w:rPr>
        <w:t>what</w:t>
      </w:r>
      <w:r>
        <w:rPr>
          <w:rStyle w:val="Style17"/>
        </w:rPr>
        <w:t>-</w:t>
      </w:r>
      <w:r>
        <w:rPr>
          <w:rStyle w:val="Style17"/>
          <w:lang w:val="en-US"/>
        </w:rPr>
        <w:t>is</w:t>
      </w:r>
      <w:r>
        <w:rPr>
          <w:rStyle w:val="Style17"/>
        </w:rPr>
        <w:t>-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-</w:t>
      </w:r>
      <w:r>
        <w:rPr>
          <w:rStyle w:val="Style17"/>
          <w:lang w:val="en-US"/>
        </w:rPr>
        <w:t>specification</w:t>
      </w:r>
      <w:r>
        <w:rPr>
          <w:rStyle w:val="Style17"/>
        </w:rPr>
        <w:t>/</w:t>
      </w:r>
      <w:r>
        <w:rPr/>
        <w:t xml:space="preserve"> (дата обращения: 25.10.2021)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>
          <w:lang w:val="en-US"/>
        </w:rPr>
      </w:pPr>
      <w:r>
        <w:rPr>
          <w:lang w:val="en-US"/>
        </w:rPr>
        <w:t>System Use Cases: An Agile Introduction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— Scott W. Ambler, 2003-2021. — URL: </w:t>
      </w:r>
      <w:hyperlink r:id="rId3">
        <w:r>
          <w:rPr>
            <w:lang w:val="en-US"/>
          </w:rPr>
          <w:t>http://agilemodeling.com/artifacts/systemUseCase.htm</w:t>
        </w:r>
      </w:hyperlink>
      <w:r>
        <w:rPr>
          <w:rStyle w:val="Style17"/>
          <w:lang w:val="en-US"/>
        </w:rPr>
        <w:br/>
      </w:r>
      <w:r>
        <w:rPr>
          <w:lang w:val="en-US"/>
        </w:rPr>
        <w:t>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25.10.2021)</w:t>
      </w:r>
    </w:p>
    <w:p>
      <w:pPr>
        <w:pStyle w:val="Normal"/>
        <w:suppressAutoHyphens w:val="false"/>
        <w:spacing w:lineRule="auto" w:line="259" w:before="0" w:after="160"/>
        <w:rPr>
          <w:lang w:val="en-US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6845887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Cambria" w:hAnsi="Cambria" w:cs="Cambria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1068" w:hanging="360"/>
      </w:pPr>
      <w:rPr>
        <w:rFonts w:ascii="Cambria" w:hAnsi="Cambria" w:cs="Cambria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3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464" w:hanging="1800"/>
      </w:p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4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98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48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6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110" w:hanging="144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8244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73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872" w:hanging="18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2bb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51d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422bb4"/>
    <w:rPr/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422bb4"/>
    <w:rPr/>
  </w:style>
  <w:style w:type="character" w:styleId="Style15" w:customStyle="1">
    <w:name w:val="Без интервала Знак"/>
    <w:basedOn w:val="DefaultParagraphFont"/>
    <w:link w:val="a3"/>
    <w:uiPriority w:val="1"/>
    <w:qFormat/>
    <w:locked/>
    <w:rsid w:val="00422bb4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51d6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zh-CN"/>
    </w:rPr>
  </w:style>
  <w:style w:type="character" w:styleId="Style16" w:customStyle="1">
    <w:name w:val="ЛР Знак"/>
    <w:basedOn w:val="11"/>
    <w:link w:val="aa"/>
    <w:qFormat/>
    <w:rsid w:val="00451d62"/>
    <w:rPr>
      <w:rFonts w:ascii="Cambria" w:hAnsi="Cambria" w:eastAsia="" w:cs="" w:cstheme="majorBidi" w:eastAsiaTheme="majorEastAsia"/>
      <w:b/>
      <w:color w:val="000000" w:themeColor="text1"/>
      <w:sz w:val="28"/>
      <w:szCs w:val="28"/>
      <w:lang w:eastAsia="zh-CN"/>
    </w:rPr>
  </w:style>
  <w:style w:type="character" w:styleId="Style17">
    <w:name w:val="Интернет-ссылка"/>
    <w:basedOn w:val="DefaultParagraphFont"/>
    <w:uiPriority w:val="99"/>
    <w:unhideWhenUsed/>
    <w:rsid w:val="0045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3ea4"/>
    <w:rPr>
      <w:color w:val="605E5C"/>
      <w:shd w:fill="E1DFDD" w:val="clear"/>
    </w:rPr>
  </w:style>
  <w:style w:type="character" w:styleId="Style18" w:customStyle="1">
    <w:name w:val="Текст сноски Знак"/>
    <w:basedOn w:val="DefaultParagraphFont"/>
    <w:link w:val="af0"/>
    <w:uiPriority w:val="99"/>
    <w:semiHidden/>
    <w:qFormat/>
    <w:rsid w:val="00784d84"/>
    <w:rPr>
      <w:rFonts w:ascii="Times New Roman" w:hAnsi="Times New Roman" w:eastAsia="Times New Roman" w:cs="Times New Roman"/>
      <w:color w:val="00000A"/>
      <w:sz w:val="20"/>
      <w:szCs w:val="20"/>
      <w:lang w:eastAsia="zh-CN"/>
    </w:rPr>
  </w:style>
  <w:style w:type="character" w:styleId="Style19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84d84"/>
    <w:rPr>
      <w:vertAlign w:val="superscript"/>
    </w:rPr>
  </w:style>
  <w:style w:type="character" w:styleId="12" w:customStyle="1">
    <w:name w:val="ЛП 1 Знак"/>
    <w:basedOn w:val="11"/>
    <w:link w:val="12"/>
    <w:qFormat/>
    <w:rsid w:val="00c84ad1"/>
    <w:rPr>
      <w:rFonts w:ascii="Cambria" w:hAnsi="Cambria" w:eastAsia="" w:cs="" w:cstheme="majorBidi" w:eastAsiaTheme="majorEastAsia"/>
      <w:b/>
      <w:color w:val="000000" w:themeColor="text1"/>
      <w:sz w:val="24"/>
      <w:szCs w:val="24"/>
      <w:lang w:eastAsia="zh-CN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a4"/>
    <w:uiPriority w:val="1"/>
    <w:qFormat/>
    <w:rsid w:val="00422bb4"/>
    <w:pPr>
      <w:widowControl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6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8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ЛР"/>
    <w:basedOn w:val="1"/>
    <w:link w:val="ab"/>
    <w:qFormat/>
    <w:rsid w:val="00451d62"/>
    <w:pPr/>
    <w:rPr>
      <w:rFonts w:ascii="Cambria" w:hAnsi="Cambria"/>
      <w:b/>
      <w:color w:val="000000" w:themeColor="text1"/>
      <w:sz w:val="28"/>
      <w:szCs w:val="28"/>
    </w:rPr>
  </w:style>
  <w:style w:type="paragraph" w:styleId="TOCHeading">
    <w:name w:val="TOC Heading"/>
    <w:basedOn w:val="1"/>
    <w:next w:val="Normal"/>
    <w:uiPriority w:val="39"/>
    <w:unhideWhenUsed/>
    <w:qFormat/>
    <w:rsid w:val="00451d62"/>
    <w:pPr>
      <w:suppressAutoHyphens w:val="false"/>
      <w:spacing w:lineRule="auto" w:line="259"/>
    </w:pPr>
    <w:rPr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451d6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0e3ea4"/>
    <w:pPr>
      <w:spacing w:before="0" w:after="0"/>
      <w:ind w:left="720" w:hanging="0"/>
      <w:contextualSpacing/>
    </w:pPr>
    <w:rPr/>
  </w:style>
  <w:style w:type="paragraph" w:styleId="Style29">
    <w:name w:val="Footnote Text"/>
    <w:basedOn w:val="Normal"/>
    <w:link w:val="af1"/>
    <w:uiPriority w:val="99"/>
    <w:semiHidden/>
    <w:unhideWhenUsed/>
    <w:rsid w:val="00784d84"/>
    <w:pPr/>
    <w:rPr>
      <w:sz w:val="20"/>
      <w:szCs w:val="20"/>
    </w:rPr>
  </w:style>
  <w:style w:type="paragraph" w:styleId="14" w:customStyle="1">
    <w:name w:val="ЛП 1"/>
    <w:basedOn w:val="1"/>
    <w:link w:val="13"/>
    <w:qFormat/>
    <w:rsid w:val="00c84ad1"/>
    <w:pPr>
      <w:suppressAutoHyphens w:val="false"/>
      <w:spacing w:lineRule="auto" w:line="259"/>
    </w:pPr>
    <w:rPr>
      <w:rFonts w:ascii="Cambria" w:hAnsi="Cambria"/>
      <w:b/>
      <w:color w:val="000000" w:themeColor="text1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gilemodeling.com/artifacts/systemUseCase.ht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F8CD-140F-4AE4-911F-AADD7739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Application>LibreOffice/7.1.1.2$Windows_X86_64 LibreOffice_project/fe0b08f4af1bacafe4c7ecc87ce55bb426164676</Application>
  <AppVersion>15.0000</AppVersion>
  <Pages>11</Pages>
  <Words>1513</Words>
  <Characters>10555</Characters>
  <CharactersWithSpaces>11826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2020-10-04T15:54:00Z</dcterms:created>
  <dc:creator>Evgeny Redgrave</dc:creator>
  <dc:description/>
  <dc:language>de-DE</dc:language>
  <cp:lastModifiedBy/>
  <dcterms:modified xsi:type="dcterms:W3CDTF">2021-11-10T15:00:46Z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