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b/>
          <w:bCs/>
          <w:sz w:val="40"/>
          <w:szCs w:val="40"/>
        </w:rPr>
        <w:t xml:space="preserve">COMP 247 Group Project</w:t>
      </w:r>
    </w:p>
    <w:p>
      <w:pPr>
        <w:spacing w:after="100"/>
        <w:jc w:val="center"/>
      </w:pPr>
      <w:r>
        <w:rPr>
          <w:b/>
          <w:bCs/>
          <w:sz w:val="32"/>
          <w:szCs w:val="32"/>
        </w:rPr>
        <w:t xml:space="preserve">KSI Fatal Collision Predictor</w:t>
      </w:r>
    </w:p>
    <w:p>
      <w:pPr>
        <w:spacing w:after="600"/>
        <w:jc w:val="center"/>
      </w:pPr>
      <w:r>
        <w:rPr>
          <w:sz w:val="26"/>
          <w:szCs w:val="26"/>
        </w:rPr>
        <w:t xml:space="preserve">Part 1 Report — Data Exploration &amp; Data Modelling</w:t>
      </w:r>
    </w:p>
    <w:p>
      <w:pPr>
        <w:jc w:val="center"/>
      </w:pPr>
      <w:r>
        <w:rPr>
          <w:sz w:val="22"/>
          <w:szCs w:val="22"/>
        </w:rPr>
        <w:t xml:space="preserve">Group #8, Section #1</w:t>
      </w:r>
    </w:p>
    <w:p>
      <w:pPr>
        <w:jc w:val="center"/>
      </w:pPr>
      <w:r>
        <w:rPr>
          <w:sz w:val="22"/>
          <w:szCs w:val="22"/>
        </w:rPr>
        <w:t xml:space="preserve">Team: Ali, Aboud, Ibrahim, Aidan</w:t>
      </w:r>
    </w:p>
    <w:p>
      <w:r>
        <w:br w:type="page"/>
      </w:r>
    </w:p>
    <w:p>
      <w:pPr>
        <w:pStyle w:val="Heading1"/>
        <w:spacing w:after="200" w:before="40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Executive Summary</w:t>
      </w:r>
    </w:p>
    <w:p>
      <w:pPr>
        <w:spacing w:after="150"/>
      </w:pPr>
      <w:r>
        <w:t xml:space="preserve">To be completed in Part 2, once modelling and evaluation results are final. In short: this project builds a classifier that predicts whether a Toronto traffic collision will result in a fatality, using the Toronto Police KSI (Killed or Seriously Injured) dataset (2006-2023, ~19,000 records).</w:t>
      </w:r>
    </w:p>
    <w:p>
      <w:pPr>
        <w:pStyle w:val="Heading1"/>
        <w:spacing w:after="200" w:before="400"/>
      </w:pPr>
      <w:r>
        <w:t xml:space="preserve">Overview of Solution</w:t>
      </w:r>
    </w:p>
    <w:p>
      <w:pPr>
        <w:spacing w:after="150"/>
      </w:pPr>
      <w:r>
        <w:t xml:space="preserve">To be expanded in Part 2. Planned approach: clean and encode the KSI dataset, handle class imbalance, train and tune logistic regression, decision tree, SVM, random forest, and neural network classifiers, select the best performer, and deploy it behind a Flask API with a simple front end for inference.</w:t>
      </w:r>
    </w:p>
    <w:p>
      <w:pPr>
        <w:pStyle w:val="Heading1"/>
        <w:spacing w:after="200" w:before="400"/>
      </w:pPr>
      <w:r>
        <w:t xml:space="preserve">Data Exploration and Findings</w:t>
      </w:r>
    </w:p>
    <w:p>
      <w:pPr>
        <w:spacing w:after="150"/>
      </w:pPr>
      <w:r>
        <w:t xml:space="preserve">Dataset: Toronto Police “Killed or Seriously Injured (KSI)” collision data, 2006–2023, 18,957 records. Downloaded as CSV from the Toronto Police Public Safety Data Portal (data.tps.ca). Field definitions from the accompanying KSI Glossary PDF. Note: the dataset is per-person, not per-collision — the same ACCNUM repeats for every person involved in a crash.</w:t>
      </w:r>
    </w:p>
    <w:p>
      <w:pPr>
        <w:spacing w:after="150"/>
      </w:pPr>
      <w:r>
        <w:t xml:space="preserve">Target column: ACCLASS. Real values found in the data: Fatal, Non-Fatal Injury, Property Damage O (truncated “Property Damage Only”), and blank. Blank rows (no usable label) were dropped, leaving 18,956 labeled records. Binary target defined as 1 = Fatal, 0 = everything else. Overall fatal rate: 14.09%.</w:t>
      </w:r>
    </w:p>
    <w:p>
      <w:pPr>
        <w:pStyle w:val="Heading2"/>
        <w:spacing w:after="150" w:before="300"/>
      </w:pPr>
      <w:r>
        <w:t xml:space="preserve">Group 1 — Location &amp; Conditions</w:t>
      </w:r>
    </w:p>
    <w:p>
      <w:pPr>
        <w:spacing w:after="150"/>
      </w:pPr>
      <w:r>
        <w:t xml:space="preserve">Columns: STREET1, STREET2, ROAD_CLASS, DISTRICT, LATITUDE, LONGITUDE, ACCLOC, TRAFFCTL, VISIBILITY, LIGHT, RDSFCOND, DIVISION, NEIGHBOURHOOD_158, HOOD_158, DATE, TIME. Originally assigned to Aboud; completed by Aidan after no analysis was submitted by the group's internal deadline.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2500"/>
        <w:gridCol w:w="2500"/>
      </w:tblGrid>
      <w:tr>
        <w:tc>
          <w:tcPr>
            <w:tcW w:type="dxa" w:w="4200"/>
            <w:shd w:fill="D9D9D9" w:val="clear"/>
            <w:tcMar>
              <w:top w:type="dxa" w:w="80"/>
              <w:left w:type="dxa" w:w="100"/>
              <w:bottom w:type="dxa" w:w="80"/>
              <w:right w:type="dxa" w:w="100"/>
            </w:tcMar>
            <w:vAlign w:val="center"/>
          </w:tcPr>
          <w:p>
            <w:r>
              <w:rPr>
                <w:b/>
                <w:bCs/>
                <w:sz w:val="20"/>
                <w:szCs w:val="20"/>
              </w:rPr>
              <w:t xml:space="preserve">Column</w:t>
            </w:r>
          </w:p>
        </w:tc>
        <w:tc>
          <w:tcPr>
            <w:tcW w:type="dxa" w:w="2500"/>
            <w:shd w:fill="D9D9D9" w:val="clear"/>
            <w:tcMar>
              <w:top w:type="dxa" w:w="80"/>
              <w:left w:type="dxa" w:w="100"/>
              <w:bottom w:type="dxa" w:w="80"/>
              <w:right w:type="dxa" w:w="100"/>
            </w:tcMar>
            <w:vAlign w:val="center"/>
          </w:tcPr>
          <w:p>
            <w:r>
              <w:rPr>
                <w:b/>
                <w:bCs/>
                <w:sz w:val="20"/>
                <w:szCs w:val="20"/>
              </w:rPr>
              <w:t xml:space="preserve">% Missing</w:t>
            </w:r>
          </w:p>
        </w:tc>
        <w:tc>
          <w:tcPr>
            <w:tcW w:type="dxa" w:w="2500"/>
            <w:shd w:fill="D9D9D9" w:val="clear"/>
            <w:tcMar>
              <w:top w:type="dxa" w:w="80"/>
              <w:left w:type="dxa" w:w="100"/>
              <w:bottom w:type="dxa" w:w="80"/>
              <w:right w:type="dxa" w:w="100"/>
            </w:tcMar>
            <w:vAlign w:val="center"/>
          </w:tcPr>
          <w:p>
            <w:r>
              <w:rPr>
                <w:b/>
                <w:bCs/>
                <w:sz w:val="20"/>
                <w:szCs w:val="20"/>
              </w:rPr>
              <w:t xml:space="preserve">Unique Values</w:t>
            </w:r>
          </w:p>
        </w:tc>
      </w:tr>
      <w:tr>
        <w:tc>
          <w:tcPr>
            <w:tcW w:type="dxa" w:w="4200"/>
            <w:tcMar>
              <w:top w:type="dxa" w:w="80"/>
              <w:left w:type="dxa" w:w="100"/>
              <w:bottom w:type="dxa" w:w="80"/>
              <w:right w:type="dxa" w:w="100"/>
            </w:tcMar>
            <w:vAlign w:val="center"/>
          </w:tcPr>
          <w:p>
            <w:r>
              <w:rPr>
                <w:b w:val="false"/>
                <w:bCs w:val="false"/>
                <w:sz w:val="20"/>
                <w:szCs w:val="20"/>
              </w:rPr>
              <w:t xml:space="preserve">ACCLOC</w:t>
            </w:r>
          </w:p>
        </w:tc>
        <w:tc>
          <w:tcPr>
            <w:tcW w:type="dxa" w:w="2500"/>
            <w:tcMar>
              <w:top w:type="dxa" w:w="80"/>
              <w:left w:type="dxa" w:w="100"/>
              <w:bottom w:type="dxa" w:w="80"/>
              <w:right w:type="dxa" w:w="100"/>
            </w:tcMar>
            <w:vAlign w:val="center"/>
          </w:tcPr>
          <w:p>
            <w:r>
              <w:rPr>
                <w:b w:val="false"/>
                <w:bCs w:val="false"/>
                <w:sz w:val="20"/>
                <w:szCs w:val="20"/>
              </w:rPr>
              <w:t xml:space="preserve">28.8%</w:t>
            </w:r>
          </w:p>
        </w:tc>
        <w:tc>
          <w:tcPr>
            <w:tcW w:type="dxa" w:w="2500"/>
            <w:tcMar>
              <w:top w:type="dxa" w:w="80"/>
              <w:left w:type="dxa" w:w="100"/>
              <w:bottom w:type="dxa" w:w="80"/>
              <w:right w:type="dxa" w:w="100"/>
            </w:tcMar>
            <w:vAlign w:val="center"/>
          </w:tcPr>
          <w:p>
            <w:r>
              <w:rPr>
                <w:b w:val="false"/>
                <w:bCs w:val="false"/>
                <w:sz w:val="20"/>
                <w:szCs w:val="20"/>
              </w:rPr>
              <w:t xml:space="preserve">10</w:t>
            </w:r>
          </w:p>
        </w:tc>
      </w:tr>
      <w:tr>
        <w:tc>
          <w:tcPr>
            <w:tcW w:type="dxa" w:w="4200"/>
            <w:tcMar>
              <w:top w:type="dxa" w:w="80"/>
              <w:left w:type="dxa" w:w="100"/>
              <w:bottom w:type="dxa" w:w="80"/>
              <w:right w:type="dxa" w:w="100"/>
            </w:tcMar>
            <w:vAlign w:val="center"/>
          </w:tcPr>
          <w:p>
            <w:r>
              <w:rPr>
                <w:b w:val="false"/>
                <w:bCs w:val="false"/>
                <w:sz w:val="20"/>
                <w:szCs w:val="20"/>
              </w:rPr>
              <w:t xml:space="preserve">STREET2</w:t>
            </w:r>
          </w:p>
        </w:tc>
        <w:tc>
          <w:tcPr>
            <w:tcW w:type="dxa" w:w="2500"/>
            <w:tcMar>
              <w:top w:type="dxa" w:w="80"/>
              <w:left w:type="dxa" w:w="100"/>
              <w:bottom w:type="dxa" w:w="80"/>
              <w:right w:type="dxa" w:w="100"/>
            </w:tcMar>
            <w:vAlign w:val="center"/>
          </w:tcPr>
          <w:p>
            <w:r>
              <w:rPr>
                <w:b w:val="false"/>
                <w:bCs w:val="false"/>
                <w:sz w:val="20"/>
                <w:szCs w:val="20"/>
              </w:rPr>
              <w:t xml:space="preserve">9.0%</w:t>
            </w:r>
          </w:p>
        </w:tc>
        <w:tc>
          <w:tcPr>
            <w:tcW w:type="dxa" w:w="2500"/>
            <w:tcMar>
              <w:top w:type="dxa" w:w="80"/>
              <w:left w:type="dxa" w:w="100"/>
              <w:bottom w:type="dxa" w:w="80"/>
              <w:right w:type="dxa" w:w="100"/>
            </w:tcMar>
            <w:vAlign w:val="center"/>
          </w:tcPr>
          <w:p>
            <w:r>
              <w:rPr>
                <w:b w:val="false"/>
                <w:bCs w:val="false"/>
                <w:sz w:val="20"/>
                <w:szCs w:val="20"/>
              </w:rPr>
              <w:t xml:space="preserve">2,821</w:t>
            </w:r>
          </w:p>
        </w:tc>
      </w:tr>
      <w:tr>
        <w:tc>
          <w:tcPr>
            <w:tcW w:type="dxa" w:w="4200"/>
            <w:tcMar>
              <w:top w:type="dxa" w:w="80"/>
              <w:left w:type="dxa" w:w="100"/>
              <w:bottom w:type="dxa" w:w="80"/>
              <w:right w:type="dxa" w:w="100"/>
            </w:tcMar>
            <w:vAlign w:val="center"/>
          </w:tcPr>
          <w:p>
            <w:r>
              <w:rPr>
                <w:b w:val="false"/>
                <w:bCs w:val="false"/>
                <w:sz w:val="20"/>
                <w:szCs w:val="20"/>
              </w:rPr>
              <w:t xml:space="preserve">ROAD_CLASS</w:t>
            </w:r>
          </w:p>
        </w:tc>
        <w:tc>
          <w:tcPr>
            <w:tcW w:type="dxa" w:w="2500"/>
            <w:tcMar>
              <w:top w:type="dxa" w:w="80"/>
              <w:left w:type="dxa" w:w="100"/>
              <w:bottom w:type="dxa" w:w="80"/>
              <w:right w:type="dxa" w:w="100"/>
            </w:tcMar>
            <w:vAlign w:val="center"/>
          </w:tcPr>
          <w:p>
            <w:r>
              <w:rPr>
                <w:b w:val="false"/>
                <w:bCs w:val="false"/>
                <w:sz w:val="20"/>
                <w:szCs w:val="20"/>
              </w:rPr>
              <w:t xml:space="preserve">2.6%</w:t>
            </w:r>
          </w:p>
        </w:tc>
        <w:tc>
          <w:tcPr>
            <w:tcW w:type="dxa" w:w="2500"/>
            <w:tcMar>
              <w:top w:type="dxa" w:w="80"/>
              <w:left w:type="dxa" w:w="100"/>
              <w:bottom w:type="dxa" w:w="80"/>
              <w:right w:type="dxa" w:w="100"/>
            </w:tcMar>
            <w:vAlign w:val="center"/>
          </w:tcPr>
          <w:p>
            <w:r>
              <w:rPr>
                <w:b w:val="false"/>
                <w:bCs w:val="false"/>
                <w:sz w:val="20"/>
                <w:szCs w:val="20"/>
              </w:rPr>
              <w:t xml:space="preserve">11</w:t>
            </w:r>
          </w:p>
        </w:tc>
      </w:tr>
      <w:tr>
        <w:tc>
          <w:tcPr>
            <w:tcW w:type="dxa" w:w="4200"/>
            <w:tcMar>
              <w:top w:type="dxa" w:w="80"/>
              <w:left w:type="dxa" w:w="100"/>
              <w:bottom w:type="dxa" w:w="80"/>
              <w:right w:type="dxa" w:w="100"/>
            </w:tcMar>
            <w:vAlign w:val="center"/>
          </w:tcPr>
          <w:p>
            <w:r>
              <w:rPr>
                <w:b w:val="false"/>
                <w:bCs w:val="false"/>
                <w:sz w:val="20"/>
                <w:szCs w:val="20"/>
              </w:rPr>
              <w:t xml:space="preserve">DISTRICT</w:t>
            </w:r>
          </w:p>
        </w:tc>
        <w:tc>
          <w:tcPr>
            <w:tcW w:type="dxa" w:w="2500"/>
            <w:tcMar>
              <w:top w:type="dxa" w:w="80"/>
              <w:left w:type="dxa" w:w="100"/>
              <w:bottom w:type="dxa" w:w="80"/>
              <w:right w:type="dxa" w:w="100"/>
            </w:tcMar>
            <w:vAlign w:val="center"/>
          </w:tcPr>
          <w:p>
            <w:r>
              <w:rPr>
                <w:b w:val="false"/>
                <w:bCs w:val="false"/>
                <w:sz w:val="20"/>
                <w:szCs w:val="20"/>
              </w:rPr>
              <w:t xml:space="preserve">1.2%</w:t>
            </w:r>
          </w:p>
        </w:tc>
        <w:tc>
          <w:tcPr>
            <w:tcW w:type="dxa" w:w="2500"/>
            <w:tcMar>
              <w:top w:type="dxa" w:w="80"/>
              <w:left w:type="dxa" w:w="100"/>
              <w:bottom w:type="dxa" w:w="80"/>
              <w:right w:type="dxa" w:w="100"/>
            </w:tcMar>
            <w:vAlign w:val="center"/>
          </w:tcPr>
          <w:p>
            <w:r>
              <w:rPr>
                <w:b w:val="false"/>
                <w:bCs w:val="false"/>
                <w:sz w:val="20"/>
                <w:szCs w:val="20"/>
              </w:rPr>
              <w:t xml:space="preserve">4</w:t>
            </w:r>
          </w:p>
        </w:tc>
      </w:tr>
      <w:tr>
        <w:tc>
          <w:tcPr>
            <w:tcW w:type="dxa" w:w="4200"/>
            <w:tcMar>
              <w:top w:type="dxa" w:w="80"/>
              <w:left w:type="dxa" w:w="100"/>
              <w:bottom w:type="dxa" w:w="80"/>
              <w:right w:type="dxa" w:w="100"/>
            </w:tcMar>
            <w:vAlign w:val="center"/>
          </w:tcPr>
          <w:p>
            <w:r>
              <w:rPr>
                <w:b w:val="false"/>
                <w:bCs w:val="false"/>
                <w:sz w:val="20"/>
                <w:szCs w:val="20"/>
              </w:rPr>
              <w:t xml:space="preserve">TRAFFCTL</w:t>
            </w:r>
          </w:p>
        </w:tc>
        <w:tc>
          <w:tcPr>
            <w:tcW w:type="dxa" w:w="2500"/>
            <w:tcMar>
              <w:top w:type="dxa" w:w="80"/>
              <w:left w:type="dxa" w:w="100"/>
              <w:bottom w:type="dxa" w:w="80"/>
              <w:right w:type="dxa" w:w="100"/>
            </w:tcMar>
            <w:vAlign w:val="center"/>
          </w:tcPr>
          <w:p>
            <w:r>
              <w:rPr>
                <w:b w:val="false"/>
                <w:bCs w:val="false"/>
                <w:sz w:val="20"/>
                <w:szCs w:val="20"/>
              </w:rPr>
              <w:t xml:space="preserve">0.4%</w:t>
            </w:r>
          </w:p>
        </w:tc>
        <w:tc>
          <w:tcPr>
            <w:tcW w:type="dxa" w:w="2500"/>
            <w:tcMar>
              <w:top w:type="dxa" w:w="80"/>
              <w:left w:type="dxa" w:w="100"/>
              <w:bottom w:type="dxa" w:w="80"/>
              <w:right w:type="dxa" w:w="100"/>
            </w:tcMar>
            <w:vAlign w:val="center"/>
          </w:tcPr>
          <w:p>
            <w:r>
              <w:rPr>
                <w:b w:val="false"/>
                <w:bCs w:val="false"/>
                <w:sz w:val="20"/>
                <w:szCs w:val="20"/>
              </w:rPr>
              <w:t xml:space="preserve">10</w:t>
            </w:r>
          </w:p>
        </w:tc>
      </w:tr>
      <w:tr>
        <w:tc>
          <w:tcPr>
            <w:tcW w:type="dxa" w:w="4200"/>
            <w:tcMar>
              <w:top w:type="dxa" w:w="80"/>
              <w:left w:type="dxa" w:w="100"/>
              <w:bottom w:type="dxa" w:w="80"/>
              <w:right w:type="dxa" w:w="100"/>
            </w:tcMar>
            <w:vAlign w:val="center"/>
          </w:tcPr>
          <w:p>
            <w:r>
              <w:rPr>
                <w:b w:val="false"/>
                <w:bCs w:val="false"/>
                <w:sz w:val="20"/>
                <w:szCs w:val="20"/>
              </w:rPr>
              <w:t xml:space="preserve">RDSFCOND</w:t>
            </w:r>
          </w:p>
        </w:tc>
        <w:tc>
          <w:tcPr>
            <w:tcW w:type="dxa" w:w="2500"/>
            <w:tcMar>
              <w:top w:type="dxa" w:w="80"/>
              <w:left w:type="dxa" w:w="100"/>
              <w:bottom w:type="dxa" w:w="80"/>
              <w:right w:type="dxa" w:w="100"/>
            </w:tcMar>
            <w:vAlign w:val="center"/>
          </w:tcPr>
          <w:p>
            <w:r>
              <w:rPr>
                <w:b w:val="false"/>
                <w:bCs w:val="false"/>
                <w:sz w:val="20"/>
                <w:szCs w:val="20"/>
              </w:rPr>
              <w:t xml:space="preserve">0.2%</w:t>
            </w:r>
          </w:p>
        </w:tc>
        <w:tc>
          <w:tcPr>
            <w:tcW w:type="dxa" w:w="2500"/>
            <w:tcMar>
              <w:top w:type="dxa" w:w="80"/>
              <w:left w:type="dxa" w:w="100"/>
              <w:bottom w:type="dxa" w:w="80"/>
              <w:right w:type="dxa" w:w="100"/>
            </w:tcMar>
            <w:vAlign w:val="center"/>
          </w:tcPr>
          <w:p>
            <w:r>
              <w:rPr>
                <w:b w:val="false"/>
                <w:bCs w:val="false"/>
                <w:sz w:val="20"/>
                <w:szCs w:val="20"/>
              </w:rPr>
              <w:t xml:space="preserve">9</w:t>
            </w:r>
          </w:p>
        </w:tc>
      </w:tr>
      <w:tr>
        <w:tc>
          <w:tcPr>
            <w:tcW w:type="dxa" w:w="4200"/>
            <w:tcMar>
              <w:top w:type="dxa" w:w="80"/>
              <w:left w:type="dxa" w:w="100"/>
              <w:bottom w:type="dxa" w:w="80"/>
              <w:right w:type="dxa" w:w="100"/>
            </w:tcMar>
            <w:vAlign w:val="center"/>
          </w:tcPr>
          <w:p>
            <w:r>
              <w:rPr>
                <w:b w:val="false"/>
                <w:bCs w:val="false"/>
                <w:sz w:val="20"/>
                <w:szCs w:val="20"/>
              </w:rPr>
              <w:t xml:space="preserve">VISIBILITY</w:t>
            </w:r>
          </w:p>
        </w:tc>
        <w:tc>
          <w:tcPr>
            <w:tcW w:type="dxa" w:w="2500"/>
            <w:tcMar>
              <w:top w:type="dxa" w:w="80"/>
              <w:left w:type="dxa" w:w="100"/>
              <w:bottom w:type="dxa" w:w="80"/>
              <w:right w:type="dxa" w:w="100"/>
            </w:tcMar>
            <w:vAlign w:val="center"/>
          </w:tcPr>
          <w:p>
            <w:r>
              <w:rPr>
                <w:b w:val="false"/>
                <w:bCs w:val="false"/>
                <w:sz w:val="20"/>
                <w:szCs w:val="20"/>
              </w:rPr>
              <w:t xml:space="preserve">0.1%</w:t>
            </w:r>
          </w:p>
        </w:tc>
        <w:tc>
          <w:tcPr>
            <w:tcW w:type="dxa" w:w="2500"/>
            <w:tcMar>
              <w:top w:type="dxa" w:w="80"/>
              <w:left w:type="dxa" w:w="100"/>
              <w:bottom w:type="dxa" w:w="80"/>
              <w:right w:type="dxa" w:w="100"/>
            </w:tcMar>
            <w:vAlign w:val="center"/>
          </w:tcPr>
          <w:p>
            <w:r>
              <w:rPr>
                <w:b w:val="false"/>
                <w:bCs w:val="false"/>
                <w:sz w:val="20"/>
                <w:szCs w:val="20"/>
              </w:rPr>
              <w:t xml:space="preserve">8</w:t>
            </w:r>
          </w:p>
        </w:tc>
      </w:tr>
      <w:tr>
        <w:tc>
          <w:tcPr>
            <w:tcW w:type="dxa" w:w="4200"/>
            <w:tcMar>
              <w:top w:type="dxa" w:w="80"/>
              <w:left w:type="dxa" w:w="100"/>
              <w:bottom w:type="dxa" w:w="80"/>
              <w:right w:type="dxa" w:w="100"/>
            </w:tcMar>
            <w:vAlign w:val="center"/>
          </w:tcPr>
          <w:p>
            <w:r>
              <w:rPr>
                <w:b w:val="false"/>
                <w:bCs w:val="false"/>
                <w:sz w:val="20"/>
                <w:szCs w:val="20"/>
              </w:rPr>
              <w:t xml:space="preserve">STREET1</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1,942</w:t>
            </w:r>
          </w:p>
        </w:tc>
      </w:tr>
      <w:tr>
        <w:tc>
          <w:tcPr>
            <w:tcW w:type="dxa" w:w="4200"/>
            <w:tcMar>
              <w:top w:type="dxa" w:w="80"/>
              <w:left w:type="dxa" w:w="100"/>
              <w:bottom w:type="dxa" w:w="80"/>
              <w:right w:type="dxa" w:w="100"/>
            </w:tcMar>
            <w:vAlign w:val="center"/>
          </w:tcPr>
          <w:p>
            <w:r>
              <w:rPr>
                <w:b w:val="false"/>
                <w:bCs w:val="false"/>
                <w:sz w:val="20"/>
                <w:szCs w:val="20"/>
              </w:rPr>
              <w:t xml:space="preserve">LATITUDE / LONGITUDE</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~4,800-5,200</w:t>
            </w:r>
          </w:p>
        </w:tc>
      </w:tr>
      <w:tr>
        <w:tc>
          <w:tcPr>
            <w:tcW w:type="dxa" w:w="4200"/>
            <w:tcMar>
              <w:top w:type="dxa" w:w="80"/>
              <w:left w:type="dxa" w:w="100"/>
              <w:bottom w:type="dxa" w:w="80"/>
              <w:right w:type="dxa" w:w="100"/>
            </w:tcMar>
            <w:vAlign w:val="center"/>
          </w:tcPr>
          <w:p>
            <w:r>
              <w:rPr>
                <w:b w:val="false"/>
                <w:bCs w:val="false"/>
                <w:sz w:val="20"/>
                <w:szCs w:val="20"/>
              </w:rPr>
              <w:t xml:space="preserve">LIGHT</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9</w:t>
            </w:r>
          </w:p>
        </w:tc>
      </w:tr>
      <w:tr>
        <w:tc>
          <w:tcPr>
            <w:tcW w:type="dxa" w:w="4200"/>
            <w:tcMar>
              <w:top w:type="dxa" w:w="80"/>
              <w:left w:type="dxa" w:w="100"/>
              <w:bottom w:type="dxa" w:w="80"/>
              <w:right w:type="dxa" w:w="100"/>
            </w:tcMar>
            <w:vAlign w:val="center"/>
          </w:tcPr>
          <w:p>
            <w:r>
              <w:rPr>
                <w:b w:val="false"/>
                <w:bCs w:val="false"/>
                <w:sz w:val="20"/>
                <w:szCs w:val="20"/>
              </w:rPr>
              <w:t xml:space="preserve">DIVISION</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17</w:t>
            </w:r>
          </w:p>
        </w:tc>
      </w:tr>
      <w:tr>
        <w:tc>
          <w:tcPr>
            <w:tcW w:type="dxa" w:w="4200"/>
            <w:tcMar>
              <w:top w:type="dxa" w:w="80"/>
              <w:left w:type="dxa" w:w="100"/>
              <w:bottom w:type="dxa" w:w="80"/>
              <w:right w:type="dxa" w:w="100"/>
            </w:tcMar>
            <w:vAlign w:val="center"/>
          </w:tcPr>
          <w:p>
            <w:r>
              <w:rPr>
                <w:b w:val="false"/>
                <w:bCs w:val="false"/>
                <w:sz w:val="20"/>
                <w:szCs w:val="20"/>
              </w:rPr>
              <w:t xml:space="preserve">NEIGHBOURHOOD_158 / HOOD_158</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159</w:t>
            </w:r>
          </w:p>
        </w:tc>
      </w:tr>
      <w:tr>
        <w:tc>
          <w:tcPr>
            <w:tcW w:type="dxa" w:w="4200"/>
            <w:tcMar>
              <w:top w:type="dxa" w:w="80"/>
              <w:left w:type="dxa" w:w="100"/>
              <w:bottom w:type="dxa" w:w="80"/>
              <w:right w:type="dxa" w:w="100"/>
            </w:tcMar>
            <w:vAlign w:val="center"/>
          </w:tcPr>
          <w:p>
            <w:r>
              <w:rPr>
                <w:b w:val="false"/>
                <w:bCs w:val="false"/>
                <w:sz w:val="20"/>
                <w:szCs w:val="20"/>
              </w:rPr>
              <w:t xml:space="preserve">DATE</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4,128</w:t>
            </w:r>
          </w:p>
        </w:tc>
      </w:tr>
      <w:tr>
        <w:tc>
          <w:tcPr>
            <w:tcW w:type="dxa" w:w="4200"/>
            <w:tcMar>
              <w:top w:type="dxa" w:w="80"/>
              <w:left w:type="dxa" w:w="100"/>
              <w:bottom w:type="dxa" w:w="80"/>
              <w:right w:type="dxa" w:w="100"/>
            </w:tcMar>
            <w:vAlign w:val="center"/>
          </w:tcPr>
          <w:p>
            <w:r>
              <w:rPr>
                <w:b w:val="false"/>
                <w:bCs w:val="false"/>
                <w:sz w:val="20"/>
                <w:szCs w:val="20"/>
              </w:rPr>
              <w:t xml:space="preserve">TIME</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1,341</w:t>
            </w:r>
          </w:p>
        </w:tc>
      </w:tr>
    </w:tbl>
    <w:p>
      <w:pPr>
        <w:spacing w:after="200"/>
      </w:pPr>
    </w:p>
    <w:p>
      <w:pPr>
        <w:spacing w:after="150"/>
      </w:pPr>
      <w:r>
        <w:t xml:space="preserve">Most columns are close to fully populated. ACCLOC is the most incomplete at 28.8% missing. Several columns are high-cardinality (STREET1, STREET2, LATITUDE/LONGITUDE, DATE, TIME, NEIGHBOURHOOD_158/HOOD_158) and will need special handling before modelling — either dropped or converted into coarser engineered features rather than one-hot encoded directly.</w:t>
      </w:r>
    </w:p>
    <w:p>
      <w:pPr>
        <w:spacing w:after="150"/>
      </w:pPr>
      <w:r>
        <w:t xml:space="preserve">Fatal-rate patterns by category: DISTRICT ranges from 10.5% (Toronto and East York) to 18.4% (Scarborough). TRAFFCTL shows No Control intersections at 15.9% vs. Traffic Signal at 12.7%. LIGHT shows Dark conditions at 17.4% vs. Daylight at 12.6%. ACCLOC shows Non-Intersection collisions at 19.3% vs. At Intersection at 12.8%. RDSFCOND is counterintuitive — Dry roads show a higher fatal rate (14.0%) than Wet (13.6%), Snow (9.3%), or Ice (3.9%), plausibly reflecting higher speeds / less caution in good conditions.</w:t>
      </w:r>
    </w:p>
    <w:p>
      <w:pPr>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2676525"/>
                    </a:xfrm>
                    <a:prstGeom prst="rect">
                      <a:avLst/>
                    </a:prstGeom>
                  </pic:spPr>
                </pic:pic>
              </a:graphicData>
            </a:graphic>
          </wp:inline>
        </w:drawing>
      </w:r>
    </w:p>
    <w:p>
      <w:pPr>
        <w:spacing w:after="150"/>
      </w:pPr>
    </w:p>
    <w:p>
      <w:pPr>
        <w:spacing w:after="150"/>
      </w:pPr>
      <w:r>
        <w:t xml:space="preserve">TIME was engineered into an HOUR feature (0-23) since it's stored as HHMM without leading zeros. 5 AM stands out with a 26.6% fatal rate (smaller sample, 312 records); early-morning hours generally run higher than mid-day. Late afternoon (3-5 PM), despite higher traffic volume, shows some of the lowest fatal rates (~9-13%) — congestion likely means slower speeds.</w:t>
      </w:r>
    </w:p>
    <w:p>
      <w:pPr>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286000"/>
                    </a:xfrm>
                    <a:prstGeom prst="rect">
                      <a:avLst/>
                    </a:prstGeom>
                  </pic:spPr>
                </pic:pic>
              </a:graphicData>
            </a:graphic>
          </wp:inline>
        </w:drawing>
      </w:r>
    </w:p>
    <w:p>
      <w:pPr>
        <w:spacing w:after="150"/>
      </w:pPr>
    </w:p>
    <w:p>
      <w:pPr>
        <w:pStyle w:val="Heading2"/>
        <w:spacing w:after="150" w:before="300"/>
      </w:pPr>
      <w:r>
        <w:t xml:space="preserve">Group 2 — People &amp; Vehicles Involved (Ibrahim)</w:t>
      </w:r>
    </w:p>
    <w:p>
      <w:pPr>
        <w:spacing w:after="150"/>
      </w:pPr>
      <w:r>
        <w:t xml:space="preserve">Columns: INVTYPE, INVAGE, INJURY, FATAL_NO, INITDIR, VEHTYPE, MANOEUVER, DRIVACT, DRIVCOND, PEDTYPE, PEDACT, PEDCOND, CYCLISTYPE, CYCACT, CYCCOND. Full column-by-column analysis submitted by Ibrahim; the summary below reflects that analysis.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2500"/>
        <w:gridCol w:w="2500"/>
      </w:tblGrid>
      <w:tr>
        <w:tc>
          <w:tcPr>
            <w:tcW w:type="dxa" w:w="4200"/>
            <w:shd w:fill="D9D9D9" w:val="clear"/>
            <w:tcMar>
              <w:top w:type="dxa" w:w="80"/>
              <w:left w:type="dxa" w:w="100"/>
              <w:bottom w:type="dxa" w:w="80"/>
              <w:right w:type="dxa" w:w="100"/>
            </w:tcMar>
            <w:vAlign w:val="center"/>
          </w:tcPr>
          <w:p>
            <w:r>
              <w:rPr>
                <w:b/>
                <w:bCs/>
                <w:sz w:val="20"/>
                <w:szCs w:val="20"/>
              </w:rPr>
              <w:t xml:space="preserve">Column</w:t>
            </w:r>
          </w:p>
        </w:tc>
        <w:tc>
          <w:tcPr>
            <w:tcW w:type="dxa" w:w="2500"/>
            <w:shd w:fill="D9D9D9" w:val="clear"/>
            <w:tcMar>
              <w:top w:type="dxa" w:w="80"/>
              <w:left w:type="dxa" w:w="100"/>
              <w:bottom w:type="dxa" w:w="80"/>
              <w:right w:type="dxa" w:w="100"/>
            </w:tcMar>
            <w:vAlign w:val="center"/>
          </w:tcPr>
          <w:p>
            <w:r>
              <w:rPr>
                <w:b/>
                <w:bCs/>
                <w:sz w:val="20"/>
                <w:szCs w:val="20"/>
              </w:rPr>
              <w:t xml:space="preserve">% Missing</w:t>
            </w:r>
          </w:p>
        </w:tc>
        <w:tc>
          <w:tcPr>
            <w:tcW w:type="dxa" w:w="2500"/>
            <w:shd w:fill="D9D9D9" w:val="clear"/>
            <w:tcMar>
              <w:top w:type="dxa" w:w="80"/>
              <w:left w:type="dxa" w:w="100"/>
              <w:bottom w:type="dxa" w:w="80"/>
              <w:right w:type="dxa" w:w="100"/>
            </w:tcMar>
            <w:vAlign w:val="center"/>
          </w:tcPr>
          <w:p>
            <w:r>
              <w:rPr>
                <w:b/>
                <w:bCs/>
                <w:sz w:val="20"/>
                <w:szCs w:val="20"/>
              </w:rPr>
              <w:t xml:space="preserve">Unique Values</w:t>
            </w:r>
          </w:p>
        </w:tc>
      </w:tr>
      <w:tr>
        <w:tc>
          <w:tcPr>
            <w:tcW w:type="dxa" w:w="4200"/>
            <w:tcMar>
              <w:top w:type="dxa" w:w="80"/>
              <w:left w:type="dxa" w:w="100"/>
              <w:bottom w:type="dxa" w:w="80"/>
              <w:right w:type="dxa" w:w="100"/>
            </w:tcMar>
            <w:vAlign w:val="center"/>
          </w:tcPr>
          <w:p>
            <w:r>
              <w:rPr>
                <w:b w:val="false"/>
                <w:bCs w:val="false"/>
                <w:sz w:val="20"/>
                <w:szCs w:val="20"/>
              </w:rPr>
              <w:t xml:space="preserve">CYCLISTYPE / CYCACT / CYCCOND</w:t>
            </w:r>
          </w:p>
        </w:tc>
        <w:tc>
          <w:tcPr>
            <w:tcW w:type="dxa" w:w="2500"/>
            <w:tcMar>
              <w:top w:type="dxa" w:w="80"/>
              <w:left w:type="dxa" w:w="100"/>
              <w:bottom w:type="dxa" w:w="80"/>
              <w:right w:type="dxa" w:w="100"/>
            </w:tcMar>
            <w:vAlign w:val="center"/>
          </w:tcPr>
          <w:p>
            <w:r>
              <w:rPr>
                <w:b w:val="false"/>
                <w:bCs w:val="false"/>
                <w:sz w:val="20"/>
                <w:szCs w:val="20"/>
              </w:rPr>
              <w:t xml:space="preserve">95.8%</w:t>
            </w:r>
          </w:p>
        </w:tc>
        <w:tc>
          <w:tcPr>
            <w:tcW w:type="dxa" w:w="2500"/>
            <w:tcMar>
              <w:top w:type="dxa" w:w="80"/>
              <w:left w:type="dxa" w:w="100"/>
              <w:bottom w:type="dxa" w:w="80"/>
              <w:right w:type="dxa" w:w="100"/>
            </w:tcMar>
            <w:vAlign w:val="center"/>
          </w:tcPr>
          <w:p>
            <w:r>
              <w:rPr>
                <w:b w:val="false"/>
                <w:bCs w:val="false"/>
                <w:sz w:val="20"/>
                <w:szCs w:val="20"/>
              </w:rPr>
              <w:t xml:space="preserve">10-22</w:t>
            </w:r>
          </w:p>
        </w:tc>
      </w:tr>
      <w:tr>
        <w:tc>
          <w:tcPr>
            <w:tcW w:type="dxa" w:w="4200"/>
            <w:tcMar>
              <w:top w:type="dxa" w:w="80"/>
              <w:left w:type="dxa" w:w="100"/>
              <w:bottom w:type="dxa" w:w="80"/>
              <w:right w:type="dxa" w:w="100"/>
            </w:tcMar>
            <w:vAlign w:val="center"/>
          </w:tcPr>
          <w:p>
            <w:r>
              <w:rPr>
                <w:b w:val="false"/>
                <w:bCs w:val="false"/>
                <w:sz w:val="20"/>
                <w:szCs w:val="20"/>
              </w:rPr>
              <w:t xml:space="preserve">FATAL_NO</w:t>
            </w:r>
          </w:p>
        </w:tc>
        <w:tc>
          <w:tcPr>
            <w:tcW w:type="dxa" w:w="2500"/>
            <w:tcMar>
              <w:top w:type="dxa" w:w="80"/>
              <w:left w:type="dxa" w:w="100"/>
              <w:bottom w:type="dxa" w:w="80"/>
              <w:right w:type="dxa" w:w="100"/>
            </w:tcMar>
            <w:vAlign w:val="center"/>
          </w:tcPr>
          <w:p>
            <w:r>
              <w:rPr>
                <w:b w:val="false"/>
                <w:bCs w:val="false"/>
                <w:sz w:val="20"/>
                <w:szCs w:val="20"/>
              </w:rPr>
              <w:t xml:space="preserve">95.4%</w:t>
            </w:r>
          </w:p>
        </w:tc>
        <w:tc>
          <w:tcPr>
            <w:tcW w:type="dxa" w:w="2500"/>
            <w:tcMar>
              <w:top w:type="dxa" w:w="80"/>
              <w:left w:type="dxa" w:w="100"/>
              <w:bottom w:type="dxa" w:w="80"/>
              <w:right w:type="dxa" w:w="100"/>
            </w:tcMar>
            <w:vAlign w:val="center"/>
          </w:tcPr>
          <w:p>
            <w:r>
              <w:rPr>
                <w:b w:val="false"/>
                <w:bCs w:val="false"/>
                <w:sz w:val="20"/>
                <w:szCs w:val="20"/>
              </w:rPr>
              <w:t xml:space="preserve">78</w:t>
            </w:r>
          </w:p>
        </w:tc>
      </w:tr>
      <w:tr>
        <w:tc>
          <w:tcPr>
            <w:tcW w:type="dxa" w:w="4200"/>
            <w:tcMar>
              <w:top w:type="dxa" w:w="80"/>
              <w:left w:type="dxa" w:w="100"/>
              <w:bottom w:type="dxa" w:w="80"/>
              <w:right w:type="dxa" w:w="100"/>
            </w:tcMar>
            <w:vAlign w:val="center"/>
          </w:tcPr>
          <w:p>
            <w:r>
              <w:rPr>
                <w:b w:val="false"/>
                <w:bCs w:val="false"/>
                <w:sz w:val="20"/>
                <w:szCs w:val="20"/>
              </w:rPr>
              <w:t xml:space="preserve">PEDTYPE / PEDACT</w:t>
            </w:r>
          </w:p>
        </w:tc>
        <w:tc>
          <w:tcPr>
            <w:tcW w:type="dxa" w:w="2500"/>
            <w:tcMar>
              <w:top w:type="dxa" w:w="80"/>
              <w:left w:type="dxa" w:w="100"/>
              <w:bottom w:type="dxa" w:w="80"/>
              <w:right w:type="dxa" w:w="100"/>
            </w:tcMar>
            <w:vAlign w:val="center"/>
          </w:tcPr>
          <w:p>
            <w:r>
              <w:rPr>
                <w:b w:val="false"/>
                <w:bCs w:val="false"/>
                <w:sz w:val="20"/>
                <w:szCs w:val="20"/>
              </w:rPr>
              <w:t xml:space="preserve">83.0%</w:t>
            </w:r>
          </w:p>
        </w:tc>
        <w:tc>
          <w:tcPr>
            <w:tcW w:type="dxa" w:w="2500"/>
            <w:tcMar>
              <w:top w:type="dxa" w:w="80"/>
              <w:left w:type="dxa" w:w="100"/>
              <w:bottom w:type="dxa" w:w="80"/>
              <w:right w:type="dxa" w:w="100"/>
            </w:tcMar>
            <w:vAlign w:val="center"/>
          </w:tcPr>
          <w:p>
            <w:r>
              <w:rPr>
                <w:b w:val="false"/>
                <w:bCs w:val="false"/>
                <w:sz w:val="20"/>
                <w:szCs w:val="20"/>
              </w:rPr>
              <w:t xml:space="preserve">15-16</w:t>
            </w:r>
          </w:p>
        </w:tc>
      </w:tr>
      <w:tr>
        <w:tc>
          <w:tcPr>
            <w:tcW w:type="dxa" w:w="4200"/>
            <w:tcMar>
              <w:top w:type="dxa" w:w="80"/>
              <w:left w:type="dxa" w:w="100"/>
              <w:bottom w:type="dxa" w:w="80"/>
              <w:right w:type="dxa" w:w="100"/>
            </w:tcMar>
            <w:vAlign w:val="center"/>
          </w:tcPr>
          <w:p>
            <w:r>
              <w:rPr>
                <w:b w:val="false"/>
                <w:bCs w:val="false"/>
                <w:sz w:val="20"/>
                <w:szCs w:val="20"/>
              </w:rPr>
              <w:t xml:space="preserve">PEDCOND</w:t>
            </w:r>
          </w:p>
        </w:tc>
        <w:tc>
          <w:tcPr>
            <w:tcW w:type="dxa" w:w="2500"/>
            <w:tcMar>
              <w:top w:type="dxa" w:w="80"/>
              <w:left w:type="dxa" w:w="100"/>
              <w:bottom w:type="dxa" w:w="80"/>
              <w:right w:type="dxa" w:w="100"/>
            </w:tcMar>
            <w:vAlign w:val="center"/>
          </w:tcPr>
          <w:p>
            <w:r>
              <w:rPr>
                <w:b w:val="false"/>
                <w:bCs w:val="false"/>
                <w:sz w:val="20"/>
                <w:szCs w:val="20"/>
              </w:rPr>
              <w:t xml:space="preserve">82.9%</w:t>
            </w:r>
          </w:p>
        </w:tc>
        <w:tc>
          <w:tcPr>
            <w:tcW w:type="dxa" w:w="2500"/>
            <w:tcMar>
              <w:top w:type="dxa" w:w="80"/>
              <w:left w:type="dxa" w:w="100"/>
              <w:bottom w:type="dxa" w:w="80"/>
              <w:right w:type="dxa" w:w="100"/>
            </w:tcMar>
            <w:vAlign w:val="center"/>
          </w:tcPr>
          <w:p>
            <w:r>
              <w:rPr>
                <w:b w:val="false"/>
                <w:bCs w:val="false"/>
                <w:sz w:val="20"/>
                <w:szCs w:val="20"/>
              </w:rPr>
              <w:t xml:space="preserve">10</w:t>
            </w:r>
          </w:p>
        </w:tc>
      </w:tr>
      <w:tr>
        <w:tc>
          <w:tcPr>
            <w:tcW w:type="dxa" w:w="4200"/>
            <w:tcMar>
              <w:top w:type="dxa" w:w="80"/>
              <w:left w:type="dxa" w:w="100"/>
              <w:bottom w:type="dxa" w:w="80"/>
              <w:right w:type="dxa" w:w="100"/>
            </w:tcMar>
            <w:vAlign w:val="center"/>
          </w:tcPr>
          <w:p>
            <w:r>
              <w:rPr>
                <w:b w:val="false"/>
                <w:bCs w:val="false"/>
                <w:sz w:val="20"/>
                <w:szCs w:val="20"/>
              </w:rPr>
              <w:t xml:space="preserve">DRIVACT / DRIVCOND</w:t>
            </w:r>
          </w:p>
        </w:tc>
        <w:tc>
          <w:tcPr>
            <w:tcW w:type="dxa" w:w="2500"/>
            <w:tcMar>
              <w:top w:type="dxa" w:w="80"/>
              <w:left w:type="dxa" w:w="100"/>
              <w:bottom w:type="dxa" w:w="80"/>
              <w:right w:type="dxa" w:w="100"/>
            </w:tcMar>
            <w:vAlign w:val="center"/>
          </w:tcPr>
          <w:p>
            <w:r>
              <w:rPr>
                <w:b w:val="false"/>
                <w:bCs w:val="false"/>
                <w:sz w:val="20"/>
                <w:szCs w:val="20"/>
              </w:rPr>
              <w:t xml:space="preserve">49.0%</w:t>
            </w:r>
          </w:p>
        </w:tc>
        <w:tc>
          <w:tcPr>
            <w:tcW w:type="dxa" w:w="2500"/>
            <w:tcMar>
              <w:top w:type="dxa" w:w="80"/>
              <w:left w:type="dxa" w:w="100"/>
              <w:bottom w:type="dxa" w:w="80"/>
              <w:right w:type="dxa" w:w="100"/>
            </w:tcMar>
            <w:vAlign w:val="center"/>
          </w:tcPr>
          <w:p>
            <w:r>
              <w:rPr>
                <w:b w:val="false"/>
                <w:bCs w:val="false"/>
                <w:sz w:val="20"/>
                <w:szCs w:val="20"/>
              </w:rPr>
              <w:t xml:space="preserve">10-13</w:t>
            </w:r>
          </w:p>
        </w:tc>
      </w:tr>
      <w:tr>
        <w:tc>
          <w:tcPr>
            <w:tcW w:type="dxa" w:w="4200"/>
            <w:tcMar>
              <w:top w:type="dxa" w:w="80"/>
              <w:left w:type="dxa" w:w="100"/>
              <w:bottom w:type="dxa" w:w="80"/>
              <w:right w:type="dxa" w:w="100"/>
            </w:tcMar>
            <w:vAlign w:val="center"/>
          </w:tcPr>
          <w:p>
            <w:r>
              <w:rPr>
                <w:b w:val="false"/>
                <w:bCs w:val="false"/>
                <w:sz w:val="20"/>
                <w:szCs w:val="20"/>
              </w:rPr>
              <w:t xml:space="preserve">MANOEUVER</w:t>
            </w:r>
          </w:p>
        </w:tc>
        <w:tc>
          <w:tcPr>
            <w:tcW w:type="dxa" w:w="2500"/>
            <w:tcMar>
              <w:top w:type="dxa" w:w="80"/>
              <w:left w:type="dxa" w:w="100"/>
              <w:bottom w:type="dxa" w:w="80"/>
              <w:right w:type="dxa" w:w="100"/>
            </w:tcMar>
            <w:vAlign w:val="center"/>
          </w:tcPr>
          <w:p>
            <w:r>
              <w:rPr>
                <w:b w:val="false"/>
                <w:bCs w:val="false"/>
                <w:sz w:val="20"/>
                <w:szCs w:val="20"/>
              </w:rPr>
              <w:t xml:space="preserve">42.0%</w:t>
            </w:r>
          </w:p>
        </w:tc>
        <w:tc>
          <w:tcPr>
            <w:tcW w:type="dxa" w:w="2500"/>
            <w:tcMar>
              <w:top w:type="dxa" w:w="80"/>
              <w:left w:type="dxa" w:w="100"/>
              <w:bottom w:type="dxa" w:w="80"/>
              <w:right w:type="dxa" w:w="100"/>
            </w:tcMar>
            <w:vAlign w:val="center"/>
          </w:tcPr>
          <w:p>
            <w:r>
              <w:rPr>
                <w:b w:val="false"/>
                <w:bCs w:val="false"/>
                <w:sz w:val="20"/>
                <w:szCs w:val="20"/>
              </w:rPr>
              <w:t xml:space="preserve">16</w:t>
            </w:r>
          </w:p>
        </w:tc>
      </w:tr>
      <w:tr>
        <w:tc>
          <w:tcPr>
            <w:tcW w:type="dxa" w:w="4200"/>
            <w:tcMar>
              <w:top w:type="dxa" w:w="80"/>
              <w:left w:type="dxa" w:w="100"/>
              <w:bottom w:type="dxa" w:w="80"/>
              <w:right w:type="dxa" w:w="100"/>
            </w:tcMar>
            <w:vAlign w:val="center"/>
          </w:tcPr>
          <w:p>
            <w:r>
              <w:rPr>
                <w:b w:val="false"/>
                <w:bCs w:val="false"/>
                <w:sz w:val="20"/>
                <w:szCs w:val="20"/>
              </w:rPr>
              <w:t xml:space="preserve">INJURY</w:t>
            </w:r>
          </w:p>
        </w:tc>
        <w:tc>
          <w:tcPr>
            <w:tcW w:type="dxa" w:w="2500"/>
            <w:tcMar>
              <w:top w:type="dxa" w:w="80"/>
              <w:left w:type="dxa" w:w="100"/>
              <w:bottom w:type="dxa" w:w="80"/>
              <w:right w:type="dxa" w:w="100"/>
            </w:tcMar>
            <w:vAlign w:val="center"/>
          </w:tcPr>
          <w:p>
            <w:r>
              <w:rPr>
                <w:b w:val="false"/>
                <w:bCs w:val="false"/>
                <w:sz w:val="20"/>
                <w:szCs w:val="20"/>
              </w:rPr>
              <w:t xml:space="preserve">46.9%</w:t>
            </w:r>
          </w:p>
        </w:tc>
        <w:tc>
          <w:tcPr>
            <w:tcW w:type="dxa" w:w="2500"/>
            <w:tcMar>
              <w:top w:type="dxa" w:w="80"/>
              <w:left w:type="dxa" w:w="100"/>
              <w:bottom w:type="dxa" w:w="80"/>
              <w:right w:type="dxa" w:w="100"/>
            </w:tcMar>
            <w:vAlign w:val="center"/>
          </w:tcPr>
          <w:p>
            <w:r>
              <w:rPr>
                <w:b w:val="false"/>
                <w:bCs w:val="false"/>
                <w:sz w:val="20"/>
                <w:szCs w:val="20"/>
              </w:rPr>
              <w:t xml:space="preserve">4</w:t>
            </w:r>
          </w:p>
        </w:tc>
      </w:tr>
      <w:tr>
        <w:tc>
          <w:tcPr>
            <w:tcW w:type="dxa" w:w="4200"/>
            <w:tcMar>
              <w:top w:type="dxa" w:w="80"/>
              <w:left w:type="dxa" w:w="100"/>
              <w:bottom w:type="dxa" w:w="80"/>
              <w:right w:type="dxa" w:w="100"/>
            </w:tcMar>
            <w:vAlign w:val="center"/>
          </w:tcPr>
          <w:p>
            <w:r>
              <w:rPr>
                <w:b w:val="false"/>
                <w:bCs w:val="false"/>
                <w:sz w:val="20"/>
                <w:szCs w:val="20"/>
              </w:rPr>
              <w:t xml:space="preserve">INITDIR</w:t>
            </w:r>
          </w:p>
        </w:tc>
        <w:tc>
          <w:tcPr>
            <w:tcW w:type="dxa" w:w="2500"/>
            <w:tcMar>
              <w:top w:type="dxa" w:w="80"/>
              <w:left w:type="dxa" w:w="100"/>
              <w:bottom w:type="dxa" w:w="80"/>
              <w:right w:type="dxa" w:w="100"/>
            </w:tcMar>
            <w:vAlign w:val="center"/>
          </w:tcPr>
          <w:p>
            <w:r>
              <w:rPr>
                <w:b w:val="false"/>
                <w:bCs w:val="false"/>
                <w:sz w:val="20"/>
                <w:szCs w:val="20"/>
              </w:rPr>
              <w:t xml:space="preserve">27.8%</w:t>
            </w:r>
          </w:p>
        </w:tc>
        <w:tc>
          <w:tcPr>
            <w:tcW w:type="dxa" w:w="2500"/>
            <w:tcMar>
              <w:top w:type="dxa" w:w="80"/>
              <w:left w:type="dxa" w:w="100"/>
              <w:bottom w:type="dxa" w:w="80"/>
              <w:right w:type="dxa" w:w="100"/>
            </w:tcMar>
            <w:vAlign w:val="center"/>
          </w:tcPr>
          <w:p>
            <w:r>
              <w:rPr>
                <w:b w:val="false"/>
                <w:bCs w:val="false"/>
                <w:sz w:val="20"/>
                <w:szCs w:val="20"/>
              </w:rPr>
              <w:t xml:space="preserve">5</w:t>
            </w:r>
          </w:p>
        </w:tc>
      </w:tr>
      <w:tr>
        <w:tc>
          <w:tcPr>
            <w:tcW w:type="dxa" w:w="4200"/>
            <w:tcMar>
              <w:top w:type="dxa" w:w="80"/>
              <w:left w:type="dxa" w:w="100"/>
              <w:bottom w:type="dxa" w:w="80"/>
              <w:right w:type="dxa" w:w="100"/>
            </w:tcMar>
            <w:vAlign w:val="center"/>
          </w:tcPr>
          <w:p>
            <w:r>
              <w:rPr>
                <w:b w:val="false"/>
                <w:bCs w:val="false"/>
                <w:sz w:val="20"/>
                <w:szCs w:val="20"/>
              </w:rPr>
              <w:t xml:space="preserve">VEHTYPE</w:t>
            </w:r>
          </w:p>
        </w:tc>
        <w:tc>
          <w:tcPr>
            <w:tcW w:type="dxa" w:w="2500"/>
            <w:tcMar>
              <w:top w:type="dxa" w:w="80"/>
              <w:left w:type="dxa" w:w="100"/>
              <w:bottom w:type="dxa" w:w="80"/>
              <w:right w:type="dxa" w:w="100"/>
            </w:tcMar>
            <w:vAlign w:val="center"/>
          </w:tcPr>
          <w:p>
            <w:r>
              <w:rPr>
                <w:b w:val="false"/>
                <w:bCs w:val="false"/>
                <w:sz w:val="20"/>
                <w:szCs w:val="20"/>
              </w:rPr>
              <w:t xml:space="preserve">18.4%</w:t>
            </w:r>
          </w:p>
        </w:tc>
        <w:tc>
          <w:tcPr>
            <w:tcW w:type="dxa" w:w="2500"/>
            <w:tcMar>
              <w:top w:type="dxa" w:w="80"/>
              <w:left w:type="dxa" w:w="100"/>
              <w:bottom w:type="dxa" w:w="80"/>
              <w:right w:type="dxa" w:w="100"/>
            </w:tcMar>
            <w:vAlign w:val="center"/>
          </w:tcPr>
          <w:p>
            <w:r>
              <w:rPr>
                <w:b w:val="false"/>
                <w:bCs w:val="false"/>
                <w:sz w:val="20"/>
                <w:szCs w:val="20"/>
              </w:rPr>
              <w:t xml:space="preserve">32</w:t>
            </w:r>
          </w:p>
        </w:tc>
      </w:tr>
      <w:tr>
        <w:tc>
          <w:tcPr>
            <w:tcW w:type="dxa" w:w="4200"/>
            <w:tcMar>
              <w:top w:type="dxa" w:w="80"/>
              <w:left w:type="dxa" w:w="100"/>
              <w:bottom w:type="dxa" w:w="80"/>
              <w:right w:type="dxa" w:w="100"/>
            </w:tcMar>
            <w:vAlign w:val="center"/>
          </w:tcPr>
          <w:p>
            <w:r>
              <w:rPr>
                <w:b w:val="false"/>
                <w:bCs w:val="false"/>
                <w:sz w:val="20"/>
                <w:szCs w:val="20"/>
              </w:rPr>
              <w:t xml:space="preserve">INVTYPE</w:t>
            </w:r>
          </w:p>
        </w:tc>
        <w:tc>
          <w:tcPr>
            <w:tcW w:type="dxa" w:w="2500"/>
            <w:tcMar>
              <w:top w:type="dxa" w:w="80"/>
              <w:left w:type="dxa" w:w="100"/>
              <w:bottom w:type="dxa" w:w="80"/>
              <w:right w:type="dxa" w:w="100"/>
            </w:tcMar>
            <w:vAlign w:val="center"/>
          </w:tcPr>
          <w:p>
            <w:r>
              <w:rPr>
                <w:b w:val="false"/>
                <w:bCs w:val="false"/>
                <w:sz w:val="20"/>
                <w:szCs w:val="20"/>
              </w:rPr>
              <w:t xml:space="preserve">0.1%</w:t>
            </w:r>
          </w:p>
        </w:tc>
        <w:tc>
          <w:tcPr>
            <w:tcW w:type="dxa" w:w="2500"/>
            <w:tcMar>
              <w:top w:type="dxa" w:w="80"/>
              <w:left w:type="dxa" w:w="100"/>
              <w:bottom w:type="dxa" w:w="80"/>
              <w:right w:type="dxa" w:w="100"/>
            </w:tcMar>
            <w:vAlign w:val="center"/>
          </w:tcPr>
          <w:p>
            <w:r>
              <w:rPr>
                <w:b w:val="false"/>
                <w:bCs w:val="false"/>
                <w:sz w:val="20"/>
                <w:szCs w:val="20"/>
              </w:rPr>
              <w:t xml:space="preserve">19</w:t>
            </w:r>
          </w:p>
        </w:tc>
      </w:tr>
      <w:tr>
        <w:tc>
          <w:tcPr>
            <w:tcW w:type="dxa" w:w="4200"/>
            <w:tcMar>
              <w:top w:type="dxa" w:w="80"/>
              <w:left w:type="dxa" w:w="100"/>
              <w:bottom w:type="dxa" w:w="80"/>
              <w:right w:type="dxa" w:w="100"/>
            </w:tcMar>
            <w:vAlign w:val="center"/>
          </w:tcPr>
          <w:p>
            <w:r>
              <w:rPr>
                <w:b w:val="false"/>
                <w:bCs w:val="false"/>
                <w:sz w:val="20"/>
                <w:szCs w:val="20"/>
              </w:rPr>
              <w:t xml:space="preserve">INVAGE</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21</w:t>
            </w:r>
          </w:p>
        </w:tc>
      </w:tr>
    </w:tbl>
    <w:p>
      <w:pPr>
        <w:spacing w:after="200"/>
      </w:pPr>
    </w:p>
    <w:p>
      <w:pPr>
        <w:spacing w:after="150"/>
      </w:pPr>
      <w:r>
        <w:t xml:space="preserve">Missing data here is structural, not random: PEDTYPE/PEDACT/PEDCOND (~83% missing) and CYCLISTYPE/CYCACT/CYCCOND (~96% missing) only apply to pedestrian or cyclist records respectively — everyone else has no value by design. FATAL_NO (95.4% missing) is only filled for records where that specific person died. DRIVACT/DRIVCOND (~49% missing) and MANOEUVER (42% missing) only apply to drivers. These columns likely need per-involvement-type handling rather than blanket imputation across the whole dataset.</w:t>
      </w:r>
    </w:p>
    <w:p>
      <w:pPr>
        <w:spacing w:after="150"/>
      </w:pPr>
      <w:r>
        <w:t xml:space="preserve">Fatal-rate patterns: Truck Driver (25.7%) and Pedestrian (18.2%) involvement types show notably higher fatal rates than Driver (12.7%) or Cyclist (5.5%). DRIVACT shows Exceeding Speed Limit at 31.9% versus 13.5% for Driving Properly — the clearest single-factor signal in this group. DRIVCOND shows Ability Impaired by Drugs (40.0%, small sample) and Had Been Drinking (19.9%) both well above Normal (11.1%).</w:t>
      </w:r>
    </w:p>
    <w:p>
      <w:pPr>
        <w:jc w:val="center"/>
      </w:pPr>
      <w:r>
        <w:drawing>
          <wp:inline distT="0" distB="0" distL="0" distR="0">
            <wp:extent cx="4572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743200"/>
                    </a:xfrm>
                    <a:prstGeom prst="rect">
                      <a:avLst/>
                    </a:prstGeom>
                  </pic:spPr>
                </pic:pic>
              </a:graphicData>
            </a:graphic>
          </wp:inline>
        </w:drawing>
      </w:r>
    </w:p>
    <w:p>
      <w:pPr>
        <w:spacing w:after="150"/>
      </w:pPr>
    </w:p>
    <w:p>
      <w:pPr>
        <w:jc w:val="center"/>
      </w:pPr>
      <w:r>
        <w:drawing>
          <wp:inline distT="0" distB="0" distL="0" distR="0">
            <wp:extent cx="4572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743200"/>
                    </a:xfrm>
                    <a:prstGeom prst="rect">
                      <a:avLst/>
                    </a:prstGeom>
                  </pic:spPr>
                </pic:pic>
              </a:graphicData>
            </a:graphic>
          </wp:inline>
        </w:drawing>
      </w:r>
    </w:p>
    <w:p>
      <w:pPr>
        <w:spacing w:after="150"/>
      </w:pPr>
    </w:p>
    <w:p>
      <w:pPr>
        <w:pStyle w:val="Heading2"/>
        <w:spacing w:after="150" w:before="300"/>
      </w:pPr>
      <w:r>
        <w:t xml:space="preserve">Group 3 — Collision-Type Flags (13 Yes/No columns)</w:t>
      </w:r>
    </w:p>
    <w:p>
      <w:pPr>
        <w:spacing w:after="150"/>
      </w:pPr>
      <w:r>
        <w:t xml:space="preserve">Columns: PEDESTRIAN, CYCLIST, AUTOMOBILE, MOTORCYCLE, TRUCK, TRSN_CITY_VEH, EMERG_VEH, PASSENGER, SPEEDING, AG_DRIV, REDLIGHT, ALCOHOL, DISABILITY. Each column is “Yes” if that factor applied to the collision, blank otherwise — per the glossary, blank means “No,” not missing data. All 13 columns had 0% true missing values.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c>
          <w:tcPr>
            <w:tcW w:type="dxa" w:w="2600"/>
            <w:shd w:fill="D9D9D9" w:val="clear"/>
            <w:tcMar>
              <w:top w:type="dxa" w:w="80"/>
              <w:left w:type="dxa" w:w="100"/>
              <w:bottom w:type="dxa" w:w="80"/>
              <w:right w:type="dxa" w:w="100"/>
            </w:tcMar>
            <w:vAlign w:val="center"/>
          </w:tcPr>
          <w:p>
            <w:r>
              <w:rPr>
                <w:b/>
                <w:bCs/>
                <w:sz w:val="20"/>
                <w:szCs w:val="20"/>
              </w:rPr>
              <w:t xml:space="preserve">Flag</w:t>
            </w:r>
          </w:p>
        </w:tc>
        <w:tc>
          <w:tcPr>
            <w:tcW w:type="dxa" w:w="2200"/>
            <w:shd w:fill="D9D9D9" w:val="clear"/>
            <w:tcMar>
              <w:top w:type="dxa" w:w="80"/>
              <w:left w:type="dxa" w:w="100"/>
              <w:bottom w:type="dxa" w:w="80"/>
              <w:right w:type="dxa" w:w="100"/>
            </w:tcMar>
            <w:vAlign w:val="center"/>
          </w:tcPr>
          <w:p>
            <w:r>
              <w:rPr>
                <w:b/>
                <w:bCs/>
                <w:sz w:val="20"/>
                <w:szCs w:val="20"/>
              </w:rPr>
              <w:t xml:space="preserve">% of records = Yes</w:t>
            </w:r>
          </w:p>
        </w:tc>
        <w:tc>
          <w:tcPr>
            <w:tcW w:type="dxa" w:w="2200"/>
            <w:shd w:fill="D9D9D9" w:val="clear"/>
            <w:tcMar>
              <w:top w:type="dxa" w:w="80"/>
              <w:left w:type="dxa" w:w="100"/>
              <w:bottom w:type="dxa" w:w="80"/>
              <w:right w:type="dxa" w:w="100"/>
            </w:tcMar>
            <w:vAlign w:val="center"/>
          </w:tcPr>
          <w:p>
            <w:r>
              <w:rPr>
                <w:b/>
                <w:bCs/>
                <w:sz w:val="20"/>
                <w:szCs w:val="20"/>
              </w:rPr>
              <w:t xml:space="preserve">Fatal rate if Yes</w:t>
            </w:r>
          </w:p>
        </w:tc>
        <w:tc>
          <w:tcPr>
            <w:tcW w:type="dxa" w:w="2200"/>
            <w:shd w:fill="D9D9D9" w:val="clear"/>
            <w:tcMar>
              <w:top w:type="dxa" w:w="80"/>
              <w:left w:type="dxa" w:w="100"/>
              <w:bottom w:type="dxa" w:w="80"/>
              <w:right w:type="dxa" w:w="100"/>
            </w:tcMar>
            <w:vAlign w:val="center"/>
          </w:tcPr>
          <w:p>
            <w:r>
              <w:rPr>
                <w:b/>
                <w:bCs/>
                <w:sz w:val="20"/>
                <w:szCs w:val="20"/>
              </w:rPr>
              <w:t xml:space="preserve">Fatal rate if No</w:t>
            </w:r>
          </w:p>
        </w:tc>
      </w:tr>
      <w:tr>
        <w:tc>
          <w:tcPr>
            <w:tcW w:type="dxa" w:w="2600"/>
            <w:tcMar>
              <w:top w:type="dxa" w:w="80"/>
              <w:left w:type="dxa" w:w="100"/>
              <w:bottom w:type="dxa" w:w="80"/>
              <w:right w:type="dxa" w:w="100"/>
            </w:tcMar>
            <w:vAlign w:val="center"/>
          </w:tcPr>
          <w:p>
            <w:r>
              <w:rPr>
                <w:b w:val="false"/>
                <w:bCs w:val="false"/>
                <w:sz w:val="20"/>
                <w:szCs w:val="20"/>
              </w:rPr>
              <w:t xml:space="preserve">TRUCK</w:t>
            </w:r>
          </w:p>
        </w:tc>
        <w:tc>
          <w:tcPr>
            <w:tcW w:type="dxa" w:w="2200"/>
            <w:tcMar>
              <w:top w:type="dxa" w:w="80"/>
              <w:left w:type="dxa" w:w="100"/>
              <w:bottom w:type="dxa" w:w="80"/>
              <w:right w:type="dxa" w:w="100"/>
            </w:tcMar>
            <w:vAlign w:val="center"/>
          </w:tcPr>
          <w:p>
            <w:r>
              <w:rPr>
                <w:b w:val="false"/>
                <w:bCs w:val="false"/>
                <w:sz w:val="20"/>
                <w:szCs w:val="20"/>
              </w:rPr>
              <w:t xml:space="preserve">6.17%</w:t>
            </w:r>
          </w:p>
        </w:tc>
        <w:tc>
          <w:tcPr>
            <w:tcW w:type="dxa" w:w="2200"/>
            <w:tcMar>
              <w:top w:type="dxa" w:w="80"/>
              <w:left w:type="dxa" w:w="100"/>
              <w:bottom w:type="dxa" w:w="80"/>
              <w:right w:type="dxa" w:w="100"/>
            </w:tcMar>
            <w:vAlign w:val="center"/>
          </w:tcPr>
          <w:p>
            <w:r>
              <w:rPr>
                <w:b w:val="false"/>
                <w:bCs w:val="false"/>
                <w:sz w:val="20"/>
                <w:szCs w:val="20"/>
              </w:rPr>
              <w:t xml:space="preserve">29.17%</w:t>
            </w:r>
          </w:p>
        </w:tc>
        <w:tc>
          <w:tcPr>
            <w:tcW w:type="dxa" w:w="2200"/>
            <w:tcMar>
              <w:top w:type="dxa" w:w="80"/>
              <w:left w:type="dxa" w:w="100"/>
              <w:bottom w:type="dxa" w:w="80"/>
              <w:right w:type="dxa" w:w="100"/>
            </w:tcMar>
            <w:vAlign w:val="center"/>
          </w:tcPr>
          <w:p>
            <w:r>
              <w:rPr>
                <w:b w:val="false"/>
                <w:bCs w:val="false"/>
                <w:sz w:val="20"/>
                <w:szCs w:val="20"/>
              </w:rPr>
              <w:t xml:space="preserve">13.09%</w:t>
            </w:r>
          </w:p>
        </w:tc>
      </w:tr>
      <w:tr>
        <w:tc>
          <w:tcPr>
            <w:tcW w:type="dxa" w:w="2600"/>
            <w:tcMar>
              <w:top w:type="dxa" w:w="80"/>
              <w:left w:type="dxa" w:w="100"/>
              <w:bottom w:type="dxa" w:w="80"/>
              <w:right w:type="dxa" w:w="100"/>
            </w:tcMar>
            <w:vAlign w:val="center"/>
          </w:tcPr>
          <w:p>
            <w:r>
              <w:rPr>
                <w:b w:val="false"/>
                <w:bCs w:val="false"/>
                <w:sz w:val="20"/>
                <w:szCs w:val="20"/>
              </w:rPr>
              <w:t xml:space="preserve">SPEEDING</w:t>
            </w:r>
          </w:p>
        </w:tc>
        <w:tc>
          <w:tcPr>
            <w:tcW w:type="dxa" w:w="2200"/>
            <w:tcMar>
              <w:top w:type="dxa" w:w="80"/>
              <w:left w:type="dxa" w:w="100"/>
              <w:bottom w:type="dxa" w:w="80"/>
              <w:right w:type="dxa" w:w="100"/>
            </w:tcMar>
            <w:vAlign w:val="center"/>
          </w:tcPr>
          <w:p>
            <w:r>
              <w:rPr>
                <w:b w:val="false"/>
                <w:bCs w:val="false"/>
                <w:sz w:val="20"/>
                <w:szCs w:val="20"/>
              </w:rPr>
              <w:t xml:space="preserve">14.21%</w:t>
            </w:r>
          </w:p>
        </w:tc>
        <w:tc>
          <w:tcPr>
            <w:tcW w:type="dxa" w:w="2200"/>
            <w:tcMar>
              <w:top w:type="dxa" w:w="80"/>
              <w:left w:type="dxa" w:w="100"/>
              <w:bottom w:type="dxa" w:w="80"/>
              <w:right w:type="dxa" w:w="100"/>
            </w:tcMar>
            <w:vAlign w:val="center"/>
          </w:tcPr>
          <w:p>
            <w:r>
              <w:rPr>
                <w:b w:val="false"/>
                <w:bCs w:val="false"/>
                <w:sz w:val="20"/>
                <w:szCs w:val="20"/>
              </w:rPr>
              <w:t xml:space="preserve">21.80%</w:t>
            </w:r>
          </w:p>
        </w:tc>
        <w:tc>
          <w:tcPr>
            <w:tcW w:type="dxa" w:w="2200"/>
            <w:tcMar>
              <w:top w:type="dxa" w:w="80"/>
              <w:left w:type="dxa" w:w="100"/>
              <w:bottom w:type="dxa" w:w="80"/>
              <w:right w:type="dxa" w:w="100"/>
            </w:tcMar>
            <w:vAlign w:val="center"/>
          </w:tcPr>
          <w:p>
            <w:r>
              <w:rPr>
                <w:b w:val="false"/>
                <w:bCs w:val="false"/>
                <w:sz w:val="20"/>
                <w:szCs w:val="20"/>
              </w:rPr>
              <w:t xml:space="preserve">12.81%</w:t>
            </w:r>
          </w:p>
        </w:tc>
      </w:tr>
      <w:tr>
        <w:tc>
          <w:tcPr>
            <w:tcW w:type="dxa" w:w="2600"/>
            <w:tcMar>
              <w:top w:type="dxa" w:w="80"/>
              <w:left w:type="dxa" w:w="100"/>
              <w:bottom w:type="dxa" w:w="80"/>
              <w:right w:type="dxa" w:w="100"/>
            </w:tcMar>
            <w:vAlign w:val="center"/>
          </w:tcPr>
          <w:p>
            <w:r>
              <w:rPr>
                <w:b w:val="false"/>
                <w:bCs w:val="false"/>
                <w:sz w:val="20"/>
                <w:szCs w:val="20"/>
              </w:rPr>
              <w:t xml:space="preserve">TRSN_CITY_VEH</w:t>
            </w:r>
          </w:p>
        </w:tc>
        <w:tc>
          <w:tcPr>
            <w:tcW w:type="dxa" w:w="2200"/>
            <w:tcMar>
              <w:top w:type="dxa" w:w="80"/>
              <w:left w:type="dxa" w:w="100"/>
              <w:bottom w:type="dxa" w:w="80"/>
              <w:right w:type="dxa" w:w="100"/>
            </w:tcMar>
            <w:vAlign w:val="center"/>
          </w:tcPr>
          <w:p>
            <w:r>
              <w:rPr>
                <w:b w:val="false"/>
                <w:bCs w:val="false"/>
                <w:sz w:val="20"/>
                <w:szCs w:val="20"/>
              </w:rPr>
              <w:t xml:space="preserve">6.06%</w:t>
            </w:r>
          </w:p>
        </w:tc>
        <w:tc>
          <w:tcPr>
            <w:tcW w:type="dxa" w:w="2200"/>
            <w:tcMar>
              <w:top w:type="dxa" w:w="80"/>
              <w:left w:type="dxa" w:w="100"/>
              <w:bottom w:type="dxa" w:w="80"/>
              <w:right w:type="dxa" w:w="100"/>
            </w:tcMar>
            <w:vAlign w:val="center"/>
          </w:tcPr>
          <w:p>
            <w:r>
              <w:rPr>
                <w:b w:val="false"/>
                <w:bCs w:val="false"/>
                <w:sz w:val="20"/>
                <w:szCs w:val="20"/>
              </w:rPr>
              <w:t xml:space="preserve">20.56%</w:t>
            </w:r>
          </w:p>
        </w:tc>
        <w:tc>
          <w:tcPr>
            <w:tcW w:type="dxa" w:w="2200"/>
            <w:tcMar>
              <w:top w:type="dxa" w:w="80"/>
              <w:left w:type="dxa" w:w="100"/>
              <w:bottom w:type="dxa" w:w="80"/>
              <w:right w:type="dxa" w:w="100"/>
            </w:tcMar>
            <w:vAlign w:val="center"/>
          </w:tcPr>
          <w:p>
            <w:r>
              <w:rPr>
                <w:b w:val="false"/>
                <w:bCs w:val="false"/>
                <w:sz w:val="20"/>
                <w:szCs w:val="20"/>
              </w:rPr>
              <w:t xml:space="preserve">13.67%</w:t>
            </w:r>
          </w:p>
        </w:tc>
      </w:tr>
      <w:tr>
        <w:tc>
          <w:tcPr>
            <w:tcW w:type="dxa" w:w="2600"/>
            <w:tcMar>
              <w:top w:type="dxa" w:w="80"/>
              <w:left w:type="dxa" w:w="100"/>
              <w:bottom w:type="dxa" w:w="80"/>
              <w:right w:type="dxa" w:w="100"/>
            </w:tcMar>
            <w:vAlign w:val="center"/>
          </w:tcPr>
          <w:p>
            <w:r>
              <w:rPr>
                <w:b w:val="false"/>
                <w:bCs w:val="false"/>
                <w:sz w:val="20"/>
                <w:szCs w:val="20"/>
              </w:rPr>
              <w:t xml:space="preserve">ALCOHOL</w:t>
            </w:r>
          </w:p>
        </w:tc>
        <w:tc>
          <w:tcPr>
            <w:tcW w:type="dxa" w:w="2200"/>
            <w:tcMar>
              <w:top w:type="dxa" w:w="80"/>
              <w:left w:type="dxa" w:w="100"/>
              <w:bottom w:type="dxa" w:w="80"/>
              <w:right w:type="dxa" w:w="100"/>
            </w:tcMar>
            <w:vAlign w:val="center"/>
          </w:tcPr>
          <w:p>
            <w:r>
              <w:rPr>
                <w:b w:val="false"/>
                <w:bCs w:val="false"/>
                <w:sz w:val="20"/>
                <w:szCs w:val="20"/>
              </w:rPr>
              <w:t xml:space="preserve">4.26%</w:t>
            </w:r>
          </w:p>
        </w:tc>
        <w:tc>
          <w:tcPr>
            <w:tcW w:type="dxa" w:w="2200"/>
            <w:tcMar>
              <w:top w:type="dxa" w:w="80"/>
              <w:left w:type="dxa" w:w="100"/>
              <w:bottom w:type="dxa" w:w="80"/>
              <w:right w:type="dxa" w:w="100"/>
            </w:tcMar>
            <w:vAlign w:val="center"/>
          </w:tcPr>
          <w:p>
            <w:r>
              <w:rPr>
                <w:b w:val="false"/>
                <w:bCs w:val="false"/>
                <w:sz w:val="20"/>
                <w:szCs w:val="20"/>
              </w:rPr>
              <w:t xml:space="preserve">18.81%</w:t>
            </w:r>
          </w:p>
        </w:tc>
        <w:tc>
          <w:tcPr>
            <w:tcW w:type="dxa" w:w="2200"/>
            <w:tcMar>
              <w:top w:type="dxa" w:w="80"/>
              <w:left w:type="dxa" w:w="100"/>
              <w:bottom w:type="dxa" w:w="80"/>
              <w:right w:type="dxa" w:w="100"/>
            </w:tcMar>
            <w:vAlign w:val="center"/>
          </w:tcPr>
          <w:p>
            <w:r>
              <w:rPr>
                <w:b w:val="false"/>
                <w:bCs w:val="false"/>
                <w:sz w:val="20"/>
                <w:szCs w:val="20"/>
              </w:rPr>
              <w:t xml:space="preserve">13.87%</w:t>
            </w:r>
          </w:p>
        </w:tc>
      </w:tr>
      <w:tr>
        <w:tc>
          <w:tcPr>
            <w:tcW w:type="dxa" w:w="2600"/>
            <w:tcMar>
              <w:top w:type="dxa" w:w="80"/>
              <w:left w:type="dxa" w:w="100"/>
              <w:bottom w:type="dxa" w:w="80"/>
              <w:right w:type="dxa" w:w="100"/>
            </w:tcMar>
            <w:vAlign w:val="center"/>
          </w:tcPr>
          <w:p>
            <w:r>
              <w:rPr>
                <w:b w:val="false"/>
                <w:bCs w:val="false"/>
                <w:sz w:val="20"/>
                <w:szCs w:val="20"/>
              </w:rPr>
              <w:t xml:space="preserve">PEDESTRIAN</w:t>
            </w:r>
          </w:p>
        </w:tc>
        <w:tc>
          <w:tcPr>
            <w:tcW w:type="dxa" w:w="2200"/>
            <w:tcMar>
              <w:top w:type="dxa" w:w="80"/>
              <w:left w:type="dxa" w:w="100"/>
              <w:bottom w:type="dxa" w:w="80"/>
              <w:right w:type="dxa" w:w="100"/>
            </w:tcMar>
            <w:vAlign w:val="center"/>
          </w:tcPr>
          <w:p>
            <w:r>
              <w:rPr>
                <w:b w:val="false"/>
                <w:bCs w:val="false"/>
                <w:sz w:val="20"/>
                <w:szCs w:val="20"/>
              </w:rPr>
              <w:t xml:space="preserve">40.56%</w:t>
            </w:r>
          </w:p>
        </w:tc>
        <w:tc>
          <w:tcPr>
            <w:tcW w:type="dxa" w:w="2200"/>
            <w:tcMar>
              <w:top w:type="dxa" w:w="80"/>
              <w:left w:type="dxa" w:w="100"/>
              <w:bottom w:type="dxa" w:w="80"/>
              <w:right w:type="dxa" w:w="100"/>
            </w:tcMar>
            <w:vAlign w:val="center"/>
          </w:tcPr>
          <w:p>
            <w:r>
              <w:rPr>
                <w:b w:val="false"/>
                <w:bCs w:val="false"/>
                <w:sz w:val="20"/>
                <w:szCs w:val="20"/>
              </w:rPr>
              <w:t xml:space="preserve">18.26%</w:t>
            </w:r>
          </w:p>
        </w:tc>
        <w:tc>
          <w:tcPr>
            <w:tcW w:type="dxa" w:w="2200"/>
            <w:tcMar>
              <w:top w:type="dxa" w:w="80"/>
              <w:left w:type="dxa" w:w="100"/>
              <w:bottom w:type="dxa" w:w="80"/>
              <w:right w:type="dxa" w:w="100"/>
            </w:tcMar>
            <w:vAlign w:val="center"/>
          </w:tcPr>
          <w:p>
            <w:r>
              <w:rPr>
                <w:b w:val="false"/>
                <w:bCs w:val="false"/>
                <w:sz w:val="20"/>
                <w:szCs w:val="20"/>
              </w:rPr>
              <w:t xml:space="preserve">11.24%</w:t>
            </w:r>
          </w:p>
        </w:tc>
      </w:tr>
      <w:tr>
        <w:tc>
          <w:tcPr>
            <w:tcW w:type="dxa" w:w="2600"/>
            <w:tcMar>
              <w:top w:type="dxa" w:w="80"/>
              <w:left w:type="dxa" w:w="100"/>
              <w:bottom w:type="dxa" w:w="80"/>
              <w:right w:type="dxa" w:w="100"/>
            </w:tcMar>
            <w:vAlign w:val="center"/>
          </w:tcPr>
          <w:p>
            <w:r>
              <w:rPr>
                <w:b w:val="false"/>
                <w:bCs w:val="false"/>
                <w:sz w:val="20"/>
                <w:szCs w:val="20"/>
              </w:rPr>
              <w:t xml:space="preserve">PASSENGER</w:t>
            </w:r>
          </w:p>
        </w:tc>
        <w:tc>
          <w:tcPr>
            <w:tcW w:type="dxa" w:w="2200"/>
            <w:tcMar>
              <w:top w:type="dxa" w:w="80"/>
              <w:left w:type="dxa" w:w="100"/>
              <w:bottom w:type="dxa" w:w="80"/>
              <w:right w:type="dxa" w:w="100"/>
            </w:tcMar>
            <w:vAlign w:val="center"/>
          </w:tcPr>
          <w:p>
            <w:r>
              <w:rPr>
                <w:b w:val="false"/>
                <w:bCs w:val="false"/>
                <w:sz w:val="20"/>
                <w:szCs w:val="20"/>
              </w:rPr>
              <w:t xml:space="preserve">37.89%</w:t>
            </w:r>
          </w:p>
        </w:tc>
        <w:tc>
          <w:tcPr>
            <w:tcW w:type="dxa" w:w="2200"/>
            <w:tcMar>
              <w:top w:type="dxa" w:w="80"/>
              <w:left w:type="dxa" w:w="100"/>
              <w:bottom w:type="dxa" w:w="80"/>
              <w:right w:type="dxa" w:w="100"/>
            </w:tcMar>
            <w:vAlign w:val="center"/>
          </w:tcPr>
          <w:p>
            <w:r>
              <w:rPr>
                <w:b w:val="false"/>
                <w:bCs w:val="false"/>
                <w:sz w:val="20"/>
                <w:szCs w:val="20"/>
              </w:rPr>
              <w:t xml:space="preserve">13.91%</w:t>
            </w:r>
          </w:p>
        </w:tc>
        <w:tc>
          <w:tcPr>
            <w:tcW w:type="dxa" w:w="2200"/>
            <w:tcMar>
              <w:top w:type="dxa" w:w="80"/>
              <w:left w:type="dxa" w:w="100"/>
              <w:bottom w:type="dxa" w:w="80"/>
              <w:right w:type="dxa" w:w="100"/>
            </w:tcMar>
            <w:vAlign w:val="center"/>
          </w:tcPr>
          <w:p>
            <w:r>
              <w:rPr>
                <w:b w:val="false"/>
                <w:bCs w:val="false"/>
                <w:sz w:val="20"/>
                <w:szCs w:val="20"/>
              </w:rPr>
              <w:t xml:space="preserve">14.19%</w:t>
            </w:r>
          </w:p>
        </w:tc>
      </w:tr>
      <w:tr>
        <w:tc>
          <w:tcPr>
            <w:tcW w:type="dxa" w:w="2600"/>
            <w:tcMar>
              <w:top w:type="dxa" w:w="80"/>
              <w:left w:type="dxa" w:w="100"/>
              <w:bottom w:type="dxa" w:w="80"/>
              <w:right w:type="dxa" w:w="100"/>
            </w:tcMar>
            <w:vAlign w:val="center"/>
          </w:tcPr>
          <w:p>
            <w:r>
              <w:rPr>
                <w:b w:val="false"/>
                <w:bCs w:val="false"/>
                <w:sz w:val="20"/>
                <w:szCs w:val="20"/>
              </w:rPr>
              <w:t xml:space="preserve">MOTORCYCLE</w:t>
            </w:r>
          </w:p>
        </w:tc>
        <w:tc>
          <w:tcPr>
            <w:tcW w:type="dxa" w:w="2200"/>
            <w:tcMar>
              <w:top w:type="dxa" w:w="80"/>
              <w:left w:type="dxa" w:w="100"/>
              <w:bottom w:type="dxa" w:w="80"/>
              <w:right w:type="dxa" w:w="100"/>
            </w:tcMar>
            <w:vAlign w:val="center"/>
          </w:tcPr>
          <w:p>
            <w:r>
              <w:rPr>
                <w:b w:val="false"/>
                <w:bCs w:val="false"/>
                <w:sz w:val="20"/>
                <w:szCs w:val="20"/>
              </w:rPr>
              <w:t xml:space="preserve">8.88%</w:t>
            </w:r>
          </w:p>
        </w:tc>
        <w:tc>
          <w:tcPr>
            <w:tcW w:type="dxa" w:w="2200"/>
            <w:tcMar>
              <w:top w:type="dxa" w:w="80"/>
              <w:left w:type="dxa" w:w="100"/>
              <w:bottom w:type="dxa" w:w="80"/>
              <w:right w:type="dxa" w:w="100"/>
            </w:tcMar>
            <w:vAlign w:val="center"/>
          </w:tcPr>
          <w:p>
            <w:r>
              <w:rPr>
                <w:b w:val="false"/>
                <w:bCs w:val="false"/>
                <w:sz w:val="20"/>
                <w:szCs w:val="20"/>
              </w:rPr>
              <w:t xml:space="preserve">13.48%</w:t>
            </w:r>
          </w:p>
        </w:tc>
        <w:tc>
          <w:tcPr>
            <w:tcW w:type="dxa" w:w="2200"/>
            <w:tcMar>
              <w:top w:type="dxa" w:w="80"/>
              <w:left w:type="dxa" w:w="100"/>
              <w:bottom w:type="dxa" w:w="80"/>
              <w:right w:type="dxa" w:w="100"/>
            </w:tcMar>
            <w:vAlign w:val="center"/>
          </w:tcPr>
          <w:p>
            <w:r>
              <w:rPr>
                <w:b w:val="false"/>
                <w:bCs w:val="false"/>
                <w:sz w:val="20"/>
                <w:szCs w:val="20"/>
              </w:rPr>
              <w:t xml:space="preserve">14.14%</w:t>
            </w:r>
          </w:p>
        </w:tc>
      </w:tr>
      <w:tr>
        <w:tc>
          <w:tcPr>
            <w:tcW w:type="dxa" w:w="2600"/>
            <w:tcMar>
              <w:top w:type="dxa" w:w="80"/>
              <w:left w:type="dxa" w:w="100"/>
              <w:bottom w:type="dxa" w:w="80"/>
              <w:right w:type="dxa" w:w="100"/>
            </w:tcMar>
            <w:vAlign w:val="center"/>
          </w:tcPr>
          <w:p>
            <w:r>
              <w:rPr>
                <w:b w:val="false"/>
                <w:bCs w:val="false"/>
                <w:sz w:val="20"/>
                <w:szCs w:val="20"/>
              </w:rPr>
              <w:t xml:space="preserve">REDLIGHT</w:t>
            </w:r>
          </w:p>
        </w:tc>
        <w:tc>
          <w:tcPr>
            <w:tcW w:type="dxa" w:w="2200"/>
            <w:tcMar>
              <w:top w:type="dxa" w:w="80"/>
              <w:left w:type="dxa" w:w="100"/>
              <w:bottom w:type="dxa" w:w="80"/>
              <w:right w:type="dxa" w:w="100"/>
            </w:tcMar>
            <w:vAlign w:val="center"/>
          </w:tcPr>
          <w:p>
            <w:r>
              <w:rPr>
                <w:b w:val="false"/>
                <w:bCs w:val="false"/>
                <w:sz w:val="20"/>
                <w:szCs w:val="20"/>
              </w:rPr>
              <w:t xml:space="preserve">8.32%</w:t>
            </w:r>
          </w:p>
        </w:tc>
        <w:tc>
          <w:tcPr>
            <w:tcW w:type="dxa" w:w="2200"/>
            <w:tcMar>
              <w:top w:type="dxa" w:w="80"/>
              <w:left w:type="dxa" w:w="100"/>
              <w:bottom w:type="dxa" w:w="80"/>
              <w:right w:type="dxa" w:w="100"/>
            </w:tcMar>
            <w:vAlign w:val="center"/>
          </w:tcPr>
          <w:p>
            <w:r>
              <w:rPr>
                <w:b w:val="false"/>
                <w:bCs w:val="false"/>
                <w:sz w:val="20"/>
                <w:szCs w:val="20"/>
              </w:rPr>
              <w:t xml:space="preserve">13.38%</w:t>
            </w:r>
          </w:p>
        </w:tc>
        <w:tc>
          <w:tcPr>
            <w:tcW w:type="dxa" w:w="2200"/>
            <w:tcMar>
              <w:top w:type="dxa" w:w="80"/>
              <w:left w:type="dxa" w:w="100"/>
              <w:bottom w:type="dxa" w:w="80"/>
              <w:right w:type="dxa" w:w="100"/>
            </w:tcMar>
            <w:vAlign w:val="center"/>
          </w:tcPr>
          <w:p>
            <w:r>
              <w:rPr>
                <w:b w:val="false"/>
                <w:bCs w:val="false"/>
                <w:sz w:val="20"/>
                <w:szCs w:val="20"/>
              </w:rPr>
              <w:t xml:space="preserve">14.15%</w:t>
            </w:r>
          </w:p>
        </w:tc>
      </w:tr>
      <w:tr>
        <w:tc>
          <w:tcPr>
            <w:tcW w:type="dxa" w:w="2600"/>
            <w:tcMar>
              <w:top w:type="dxa" w:w="80"/>
              <w:left w:type="dxa" w:w="100"/>
              <w:bottom w:type="dxa" w:w="80"/>
              <w:right w:type="dxa" w:w="100"/>
            </w:tcMar>
            <w:vAlign w:val="center"/>
          </w:tcPr>
          <w:p>
            <w:r>
              <w:rPr>
                <w:b w:val="false"/>
                <w:bCs w:val="false"/>
                <w:sz w:val="20"/>
                <w:szCs w:val="20"/>
              </w:rPr>
              <w:t xml:space="preserve">AUTOMOBILE</w:t>
            </w:r>
          </w:p>
        </w:tc>
        <w:tc>
          <w:tcPr>
            <w:tcW w:type="dxa" w:w="2200"/>
            <w:tcMar>
              <w:top w:type="dxa" w:w="80"/>
              <w:left w:type="dxa" w:w="100"/>
              <w:bottom w:type="dxa" w:w="80"/>
              <w:right w:type="dxa" w:w="100"/>
            </w:tcMar>
            <w:vAlign w:val="center"/>
          </w:tcPr>
          <w:p>
            <w:r>
              <w:rPr>
                <w:b w:val="false"/>
                <w:bCs w:val="false"/>
                <w:sz w:val="20"/>
                <w:szCs w:val="20"/>
              </w:rPr>
              <w:t xml:space="preserve">90.89%</w:t>
            </w:r>
          </w:p>
        </w:tc>
        <w:tc>
          <w:tcPr>
            <w:tcW w:type="dxa" w:w="2200"/>
            <w:tcMar>
              <w:top w:type="dxa" w:w="80"/>
              <w:left w:type="dxa" w:w="100"/>
              <w:bottom w:type="dxa" w:w="80"/>
              <w:right w:type="dxa" w:w="100"/>
            </w:tcMar>
            <w:vAlign w:val="center"/>
          </w:tcPr>
          <w:p>
            <w:r>
              <w:rPr>
                <w:b w:val="false"/>
                <w:bCs w:val="false"/>
                <w:sz w:val="20"/>
                <w:szCs w:val="20"/>
              </w:rPr>
              <w:t xml:space="preserve">13.26%</w:t>
            </w:r>
          </w:p>
        </w:tc>
        <w:tc>
          <w:tcPr>
            <w:tcW w:type="dxa" w:w="2200"/>
            <w:tcMar>
              <w:top w:type="dxa" w:w="80"/>
              <w:left w:type="dxa" w:w="100"/>
              <w:bottom w:type="dxa" w:w="80"/>
              <w:right w:type="dxa" w:w="100"/>
            </w:tcMar>
            <w:vAlign w:val="center"/>
          </w:tcPr>
          <w:p>
            <w:r>
              <w:rPr>
                <w:b w:val="false"/>
                <w:bCs w:val="false"/>
                <w:sz w:val="20"/>
                <w:szCs w:val="20"/>
              </w:rPr>
              <w:t xml:space="preserve">22.29%</w:t>
            </w:r>
          </w:p>
        </w:tc>
      </w:tr>
      <w:tr>
        <w:tc>
          <w:tcPr>
            <w:tcW w:type="dxa" w:w="2600"/>
            <w:tcMar>
              <w:top w:type="dxa" w:w="80"/>
              <w:left w:type="dxa" w:w="100"/>
              <w:bottom w:type="dxa" w:w="80"/>
              <w:right w:type="dxa" w:w="100"/>
            </w:tcMar>
            <w:vAlign w:val="center"/>
          </w:tcPr>
          <w:p>
            <w:r>
              <w:rPr>
                <w:b w:val="false"/>
                <w:bCs w:val="false"/>
                <w:sz w:val="20"/>
                <w:szCs w:val="20"/>
              </w:rPr>
              <w:t xml:space="preserve">AG_DRIV</w:t>
            </w:r>
          </w:p>
        </w:tc>
        <w:tc>
          <w:tcPr>
            <w:tcW w:type="dxa" w:w="2200"/>
            <w:tcMar>
              <w:top w:type="dxa" w:w="80"/>
              <w:left w:type="dxa" w:w="100"/>
              <w:bottom w:type="dxa" w:w="80"/>
              <w:right w:type="dxa" w:w="100"/>
            </w:tcMar>
            <w:vAlign w:val="center"/>
          </w:tcPr>
          <w:p>
            <w:r>
              <w:rPr>
                <w:b w:val="false"/>
                <w:bCs w:val="false"/>
                <w:sz w:val="20"/>
                <w:szCs w:val="20"/>
              </w:rPr>
              <w:t xml:space="preserve">51.88%</w:t>
            </w:r>
          </w:p>
        </w:tc>
        <w:tc>
          <w:tcPr>
            <w:tcW w:type="dxa" w:w="2200"/>
            <w:tcMar>
              <w:top w:type="dxa" w:w="80"/>
              <w:left w:type="dxa" w:w="100"/>
              <w:bottom w:type="dxa" w:w="80"/>
              <w:right w:type="dxa" w:w="100"/>
            </w:tcMar>
            <w:vAlign w:val="center"/>
          </w:tcPr>
          <w:p>
            <w:r>
              <w:rPr>
                <w:b w:val="false"/>
                <w:bCs w:val="false"/>
                <w:sz w:val="20"/>
                <w:szCs w:val="20"/>
              </w:rPr>
              <w:t xml:space="preserve">12.98%</w:t>
            </w:r>
          </w:p>
        </w:tc>
        <w:tc>
          <w:tcPr>
            <w:tcW w:type="dxa" w:w="2200"/>
            <w:tcMar>
              <w:top w:type="dxa" w:w="80"/>
              <w:left w:type="dxa" w:w="100"/>
              <w:bottom w:type="dxa" w:w="80"/>
              <w:right w:type="dxa" w:w="100"/>
            </w:tcMar>
            <w:vAlign w:val="center"/>
          </w:tcPr>
          <w:p>
            <w:r>
              <w:rPr>
                <w:b w:val="false"/>
                <w:bCs w:val="false"/>
                <w:sz w:val="20"/>
                <w:szCs w:val="20"/>
              </w:rPr>
              <w:t xml:space="preserve">15.27%</w:t>
            </w:r>
          </w:p>
        </w:tc>
      </w:tr>
      <w:tr>
        <w:tc>
          <w:tcPr>
            <w:tcW w:type="dxa" w:w="2600"/>
            <w:tcMar>
              <w:top w:type="dxa" w:w="80"/>
              <w:left w:type="dxa" w:w="100"/>
              <w:bottom w:type="dxa" w:w="80"/>
              <w:right w:type="dxa" w:w="100"/>
            </w:tcMar>
            <w:vAlign w:val="center"/>
          </w:tcPr>
          <w:p>
            <w:r>
              <w:rPr>
                <w:b w:val="false"/>
                <w:bCs w:val="false"/>
                <w:sz w:val="20"/>
                <w:szCs w:val="20"/>
              </w:rPr>
              <w:t xml:space="preserve">DISABILITY</w:t>
            </w:r>
          </w:p>
        </w:tc>
        <w:tc>
          <w:tcPr>
            <w:tcW w:type="dxa" w:w="2200"/>
            <w:tcMar>
              <w:top w:type="dxa" w:w="80"/>
              <w:left w:type="dxa" w:w="100"/>
              <w:bottom w:type="dxa" w:w="80"/>
              <w:right w:type="dxa" w:w="100"/>
            </w:tcMar>
            <w:vAlign w:val="center"/>
          </w:tcPr>
          <w:p>
            <w:r>
              <w:rPr>
                <w:b w:val="false"/>
                <w:bCs w:val="false"/>
                <w:sz w:val="20"/>
                <w:szCs w:val="20"/>
              </w:rPr>
              <w:t xml:space="preserve">2.60%</w:t>
            </w:r>
          </w:p>
        </w:tc>
        <w:tc>
          <w:tcPr>
            <w:tcW w:type="dxa" w:w="2200"/>
            <w:tcMar>
              <w:top w:type="dxa" w:w="80"/>
              <w:left w:type="dxa" w:w="100"/>
              <w:bottom w:type="dxa" w:w="80"/>
              <w:right w:type="dxa" w:w="100"/>
            </w:tcMar>
            <w:vAlign w:val="center"/>
          </w:tcPr>
          <w:p>
            <w:r>
              <w:rPr>
                <w:b w:val="false"/>
                <w:bCs w:val="false"/>
                <w:sz w:val="20"/>
                <w:szCs w:val="20"/>
              </w:rPr>
              <w:t xml:space="preserve">12.60%</w:t>
            </w:r>
          </w:p>
        </w:tc>
        <w:tc>
          <w:tcPr>
            <w:tcW w:type="dxa" w:w="2200"/>
            <w:tcMar>
              <w:top w:type="dxa" w:w="80"/>
              <w:left w:type="dxa" w:w="100"/>
              <w:bottom w:type="dxa" w:w="80"/>
              <w:right w:type="dxa" w:w="100"/>
            </w:tcMar>
            <w:vAlign w:val="center"/>
          </w:tcPr>
          <w:p>
            <w:r>
              <w:rPr>
                <w:b w:val="false"/>
                <w:bCs w:val="false"/>
                <w:sz w:val="20"/>
                <w:szCs w:val="20"/>
              </w:rPr>
              <w:t xml:space="preserve">14.12%</w:t>
            </w:r>
          </w:p>
        </w:tc>
      </w:tr>
      <w:tr>
        <w:tc>
          <w:tcPr>
            <w:tcW w:type="dxa" w:w="2600"/>
            <w:tcMar>
              <w:top w:type="dxa" w:w="80"/>
              <w:left w:type="dxa" w:w="100"/>
              <w:bottom w:type="dxa" w:w="80"/>
              <w:right w:type="dxa" w:w="100"/>
            </w:tcMar>
            <w:vAlign w:val="center"/>
          </w:tcPr>
          <w:p>
            <w:r>
              <w:rPr>
                <w:b w:val="false"/>
                <w:bCs w:val="false"/>
                <w:sz w:val="20"/>
                <w:szCs w:val="20"/>
              </w:rPr>
              <w:t xml:space="preserve">CYCLIST</w:t>
            </w:r>
          </w:p>
        </w:tc>
        <w:tc>
          <w:tcPr>
            <w:tcW w:type="dxa" w:w="2200"/>
            <w:tcMar>
              <w:top w:type="dxa" w:w="80"/>
              <w:left w:type="dxa" w:w="100"/>
              <w:bottom w:type="dxa" w:w="80"/>
              <w:right w:type="dxa" w:w="100"/>
            </w:tcMar>
            <w:vAlign w:val="center"/>
          </w:tcPr>
          <w:p>
            <w:r>
              <w:rPr>
                <w:b w:val="false"/>
                <w:bCs w:val="false"/>
                <w:sz w:val="20"/>
                <w:szCs w:val="20"/>
              </w:rPr>
              <w:t xml:space="preserve">10.48%</w:t>
            </w:r>
          </w:p>
        </w:tc>
        <w:tc>
          <w:tcPr>
            <w:tcW w:type="dxa" w:w="2200"/>
            <w:tcMar>
              <w:top w:type="dxa" w:w="80"/>
              <w:left w:type="dxa" w:w="100"/>
              <w:bottom w:type="dxa" w:w="80"/>
              <w:right w:type="dxa" w:w="100"/>
            </w:tcMar>
            <w:vAlign w:val="center"/>
          </w:tcPr>
          <w:p>
            <w:r>
              <w:rPr>
                <w:b w:val="false"/>
                <w:bCs w:val="false"/>
                <w:sz w:val="20"/>
                <w:szCs w:val="20"/>
              </w:rPr>
              <w:t xml:space="preserve">6.45%</w:t>
            </w:r>
          </w:p>
        </w:tc>
        <w:tc>
          <w:tcPr>
            <w:tcW w:type="dxa" w:w="2200"/>
            <w:tcMar>
              <w:top w:type="dxa" w:w="80"/>
              <w:left w:type="dxa" w:w="100"/>
              <w:bottom w:type="dxa" w:w="80"/>
              <w:right w:type="dxa" w:w="100"/>
            </w:tcMar>
            <w:vAlign w:val="center"/>
          </w:tcPr>
          <w:p>
            <w:r>
              <w:rPr>
                <w:b w:val="false"/>
                <w:bCs w:val="false"/>
                <w:sz w:val="20"/>
                <w:szCs w:val="20"/>
              </w:rPr>
              <w:t xml:space="preserve">14.98%</w:t>
            </w:r>
          </w:p>
        </w:tc>
      </w:tr>
      <w:tr>
        <w:tc>
          <w:tcPr>
            <w:tcW w:type="dxa" w:w="2600"/>
            <w:tcMar>
              <w:top w:type="dxa" w:w="80"/>
              <w:left w:type="dxa" w:w="100"/>
              <w:bottom w:type="dxa" w:w="80"/>
              <w:right w:type="dxa" w:w="100"/>
            </w:tcMar>
            <w:vAlign w:val="center"/>
          </w:tcPr>
          <w:p>
            <w:r>
              <w:rPr>
                <w:b w:val="false"/>
                <w:bCs w:val="false"/>
                <w:sz w:val="20"/>
                <w:szCs w:val="20"/>
              </w:rPr>
              <w:t xml:space="preserve">EMERG_VEH</w:t>
            </w:r>
          </w:p>
        </w:tc>
        <w:tc>
          <w:tcPr>
            <w:tcW w:type="dxa" w:w="2200"/>
            <w:tcMar>
              <w:top w:type="dxa" w:w="80"/>
              <w:left w:type="dxa" w:w="100"/>
              <w:bottom w:type="dxa" w:w="80"/>
              <w:right w:type="dxa" w:w="100"/>
            </w:tcMar>
            <w:vAlign w:val="center"/>
          </w:tcPr>
          <w:p>
            <w:r>
              <w:rPr>
                <w:b w:val="false"/>
                <w:bCs w:val="false"/>
                <w:sz w:val="20"/>
                <w:szCs w:val="20"/>
              </w:rPr>
              <w:t xml:space="preserve">0.26%</w:t>
            </w:r>
          </w:p>
        </w:tc>
        <w:tc>
          <w:tcPr>
            <w:tcW w:type="dxa" w:w="2200"/>
            <w:tcMar>
              <w:top w:type="dxa" w:w="80"/>
              <w:left w:type="dxa" w:w="100"/>
              <w:bottom w:type="dxa" w:w="80"/>
              <w:right w:type="dxa" w:w="100"/>
            </w:tcMar>
            <w:vAlign w:val="center"/>
          </w:tcPr>
          <w:p>
            <w:r>
              <w:rPr>
                <w:b w:val="false"/>
                <w:bCs w:val="false"/>
                <w:sz w:val="20"/>
                <w:szCs w:val="20"/>
              </w:rPr>
              <w:t xml:space="preserve">4.08%</w:t>
            </w:r>
          </w:p>
        </w:tc>
        <w:tc>
          <w:tcPr>
            <w:tcW w:type="dxa" w:w="2200"/>
            <w:tcMar>
              <w:top w:type="dxa" w:w="80"/>
              <w:left w:type="dxa" w:w="100"/>
              <w:bottom w:type="dxa" w:w="80"/>
              <w:right w:type="dxa" w:w="100"/>
            </w:tcMar>
            <w:vAlign w:val="center"/>
          </w:tcPr>
          <w:p>
            <w:r>
              <w:rPr>
                <w:b w:val="false"/>
                <w:bCs w:val="false"/>
                <w:sz w:val="20"/>
                <w:szCs w:val="20"/>
              </w:rPr>
              <w:t xml:space="preserve">14.11%</w:t>
            </w:r>
          </w:p>
        </w:tc>
      </w:tr>
    </w:tbl>
    <w:p>
      <w:pPr>
        <w:spacing w:after="200"/>
      </w:pPr>
    </w:p>
    <w:p>
      <w:pPr>
        <w:jc w:val="center"/>
      </w:pPr>
      <w:r>
        <w:drawing>
          <wp:inline distT="0" distB="0" distL="0" distR="0">
            <wp:extent cx="523875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3276600"/>
                    </a:xfrm>
                    <a:prstGeom prst="rect">
                      <a:avLst/>
                    </a:prstGeom>
                  </pic:spPr>
                </pic:pic>
              </a:graphicData>
            </a:graphic>
          </wp:inline>
        </w:drawing>
      </w:r>
    </w:p>
    <w:p>
      <w:pPr>
        <w:spacing w:after="200"/>
      </w:pPr>
    </w:p>
    <w:p>
      <w:pPr>
        <w:spacing w:after="150"/>
      </w:pPr>
      <w:r>
        <w:t xml:space="preserve">Findings: Collisions involving a truck, speeding, a transit/city vehicle, or alcohol show a noticeably higher fatal rate than the 14.09% baseline (truck collisions are more than double). Pedestrian involvement also raises the fatal rate. Cyclist and emergency-vehicle involvement show a lower fatal rate than baseline in this single-variable view — likely reflecting lower speeds or more cautious circumstances rather than cycling being inherently safer; this needs further investigation once other variables are controlled for. AUTOMOBILE is Yes for 91% of records, so its “fatal rate if No” (22.29%) is based on a small, atypical subset and should be read cautiously. These are single-variable comparisons — real feature-importance analysis happens during model building (Part 2).</w:t>
      </w:r>
    </w:p>
    <w:p>
      <w:pPr>
        <w:pStyle w:val="Heading1"/>
        <w:spacing w:after="200" w:before="400"/>
      </w:pPr>
      <w:r>
        <w:t xml:space="preserve">Feature Selection</w:t>
      </w:r>
    </w:p>
    <w:p>
      <w:pPr>
        <w:spacing w:after="150"/>
      </w:pPr>
      <w:r>
        <w:t xml:space="preserve">Dropped as identifiers or redundant, no predictive value: INDEX, ACCNUM, OBJECTID (record/event identifiers), OFFSET (location-precision detail with no standalone meaning), HOOD_140 and NEIGHBOURHOOD_140 (older duplicates of HOOD_158 / NEIGHBOURHOOD_158), and x / y (projected duplicates of LATITUDE / LONGITUDE).</w:t>
      </w:r>
    </w:p>
    <w:p>
      <w:pPr>
        <w:spacing w:after="150"/>
      </w:pPr>
      <w:r>
        <w:t xml:space="preserve">Dropped as data leakage: FATAL_NO is only populated when the specific person died, so its presence directly reveals the target and cannot be used as a feature.</w:t>
      </w:r>
    </w:p>
    <w:p>
      <w:pPr>
        <w:spacing w:after="150"/>
      </w:pPr>
      <w:r>
        <w:t xml:space="preserve">Dropped as too high-cardinality to encode sensibly: STREET1 (1,942 unique values) and STREET2 (2,821 unique values) — DISTRICT and NEIGHBOURHOOD_158 already capture location at a usable granularity. DATE and TIME were replaced by an engineered HOUR feature (0-23, derived from TIME) rather than used raw, since TIME alone (1,341 unique values) is too granular and DATE (4,128 unique values) even more so.</w:t>
      </w:r>
    </w:p>
    <w:p>
      <w:pPr>
        <w:spacing w:after="150"/>
      </w:pPr>
      <w:r>
        <w:t xml:space="preserve">Dropped as structurally missing and redundant: PEDTYPE, PEDACT, PEDCOND (~83% missing) and CYCLISTYPE, CYCACT, CYCCOND (~96% missing) only apply to pedestrian or cyclist records respectively — not missing at random, simply not applicable to other rows. Group 3's PEDESTRIAN / CYCLIST flags already capture whether those involvement types were present in a given record, so these columns were excluded rather than risk imputing meaningless values onto rows they don't apply to.</w:t>
      </w:r>
    </w:p>
    <w:p>
      <w:pPr>
        <w:spacing w:after="150"/>
      </w:pPr>
      <w:r>
        <w:t xml:space="preserve">Kept: all remaining columns listed under Data Exploration above. Group 3's 13 flag columns are low-cardinality (Yes/blank) and clean — one-hot encoded as-is. Group 1 and Group 2's remaining columns are moderate cardinality with real signal relative to the target, per the fatal-rate breakdowns above.</w:t>
      </w:r>
    </w:p>
    <w:p>
      <w:pPr>
        <w:pStyle w:val="Heading1"/>
        <w:spacing w:after="200" w:before="400"/>
      </w:pPr>
      <w:r>
        <w:t xml:space="preserve">Data Modelling</w:t>
      </w:r>
    </w:p>
    <w:p>
      <w:pPr>
        <w:spacing w:after="150"/>
      </w:pPr>
      <w:r>
        <w:t xml:space="preserve">Cleaning strategy: rows with a blank ACCLASS (no usable label) were dropped. Identifier, leakage, high-cardinality, and structurally-missing redundant columns (see Feature Selection) were dropped before encoding.</w:t>
      </w:r>
    </w:p>
    <w:p>
      <w:pPr>
        <w:spacing w:after="150"/>
      </w:pPr>
      <w:r>
        <w:t xml:space="preserve">Data wrangling / pipeline: built with scikit-learn's Pipeline and ColumnTransformer. Categorical columns are imputed with the most frequent value and one-hot encoded; numeric columns (LATITUDE, LONGITUDE, and the engineered HOUR feature) are median-imputed and standard-scaled. Train/test split: 80/20, stratified on the target to preserve the fatal/non-fatal ratio in both sets. Verified working end-to-end: 15,164 training rows / 3,792 test rows, 373 features after encoding, train-set class balance matching the overall 14.09% fatal rate.</w:t>
      </w:r>
    </w:p>
    <w:p>
      <w:pPr>
        <w:spacing w:after="150"/>
      </w:pPr>
      <w:r>
        <w:t xml:space="preserve">Class imbalance: the fatal class is roughly 14% of records — a real but moderate imbalance. Planned handling for Part 2: try class_weight=’balanced’ on the classifier first (simplest option); fall back to SMOTE (imbalanced-learn) if recall on the fatal class isn’t high enough.</w:t>
      </w:r>
    </w:p>
    <w:p>
      <w:pPr>
        <w:spacing w:after="150"/>
      </w:pPr>
      <w:r>
        <w:t xml:space="preserve">Assumptions and constraints: (1) Property Damage Only and Non-Fatal Injury rows are both treated as the negative (non-fatal) class, since the project's objective is specifically predicting fatal outcomes. (2) Location fields are deliberately offset to the nearest intersection for privacy, so exact-address-level analysis isn't possible. (3) The dataset is per-person, not per-collision — the group discussed aggregating to one row per collision (since the assignment asks whether "the incident" would be fatal, not whether a person is), but this was not implemented for Part 1 given the time available; it remains a candidate improvement for Part 2. (4) The assignment document references 2006–2020 coverage; the portal now serves 2006–2023 (dataset updated since the assignment was written). (5) Group 1's section was completed by Aidan after Aboud did not submit analysis by the internal deadline; Group 2's section was submitted directly by Ibrahim. See the Team &amp; Roles note in the project README for the full timeline.</w:t>
      </w:r>
    </w:p>
    <w:p>
      <w:pPr>
        <w:pStyle w:val="Heading1"/>
        <w:spacing w:after="200" w:before="400"/>
      </w:pPr>
      <w:r>
        <w:t xml:space="preserve">Next Steps (Part 2)</w:t>
      </w:r>
    </w:p>
    <w:p>
      <w:pPr>
        <w:pStyle w:val="ListParagraph"/>
        <w:numPr>
          <w:ilvl w:val="0"/>
          <w:numId w:val="1"/>
        </w:numPr>
        <w:spacing w:after="80"/>
      </w:pPr>
      <w:r>
        <w:t xml:space="preserve">Revisit per-collision aggregation (vs. current per-person rows) as a potential modelling improvement</w:t>
      </w:r>
    </w:p>
    <w:p>
      <w:pPr>
        <w:pStyle w:val="ListParagraph"/>
        <w:numPr>
          <w:ilvl w:val="0"/>
          <w:numId w:val="1"/>
        </w:numPr>
        <w:spacing w:after="80"/>
      </w:pPr>
      <w:r>
        <w:t xml:space="preserve">Build and tune logistic regression, decision tree, SVM, random forest, and neural network models</w:t>
      </w:r>
    </w:p>
    <w:p>
      <w:pPr>
        <w:pStyle w:val="ListParagraph"/>
        <w:numPr>
          <w:ilvl w:val="0"/>
          <w:numId w:val="1"/>
        </w:numPr>
        <w:spacing w:after="80"/>
      </w:pPr>
      <w:r>
        <w:t xml:space="preserve">Score and compare models (accuracy, precision, recall, F1, ROC curves); select best model</w:t>
      </w:r>
    </w:p>
    <w:p>
      <w:pPr>
        <w:pStyle w:val="ListParagraph"/>
        <w:numPr>
          <w:ilvl w:val="0"/>
          <w:numId w:val="1"/>
        </w:numPr>
        <w:spacing w:after="80"/>
      </w:pPr>
      <w:r>
        <w:t xml:space="preserve">Deploy the selected model as a Flask API; build a front end / test client</w:t>
      </w:r>
    </w:p>
    <w:p>
      <w:pPr>
        <w:pStyle w:val="ListParagraph"/>
        <w:numPr>
          <w:ilvl w:val="0"/>
          <w:numId w:val="1"/>
        </w:numPr>
        <w:spacing w:after="80"/>
      </w:pPr>
      <w:r>
        <w:t xml:space="preserve">Write full report (executive summary, solution overview) and prepare presentation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a6527ddbc1ad9f2cecbc0bb60f5881c3d2be9de.png"/><Relationship Id="rId8" Type="http://schemas.openxmlformats.org/officeDocument/2006/relationships/image" Target="media/3942ed40c5f6012b46aa9f30cfffbc0098de7139.png"/><Relationship Id="rId9" Type="http://schemas.openxmlformats.org/officeDocument/2006/relationships/image" Target="media/49fab8961dd9a07db8e4085322a5c94e94eff362.png"/><Relationship Id="rId10" Type="http://schemas.openxmlformats.org/officeDocument/2006/relationships/image" Target="media/44b38e4f8906892f6539bccb03d5fce794929a2d.png"/><Relationship Id="rId11" Type="http://schemas.openxmlformats.org/officeDocument/2006/relationships/image" Target="media/1a4b7153df563f3680e2bc80697c6c5b694f8ce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2026-07-26T02:33:41.307Z</dcterms:created>
  <dcterms:modified xsi:type="dcterms:W3CDTF">2026-07-26T02:33:41.310Z</dcterms:modified>
</cp:coreProperties>
</file>

<file path=docProps/custom.xml><?xml version="1.0" encoding="utf-8"?>
<Properties xmlns="http://schemas.openxmlformats.org/officeDocument/2006/custom-properties" xmlns:vt="http://schemas.openxmlformats.org/officeDocument/2006/docPropsVTypes"/>
</file>