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b/>
          <w:bCs/>
          <w:sz w:val="40"/>
          <w:szCs w:val="40"/>
        </w:rPr>
        <w:t xml:space="preserve">COMP 247 Group Project</w:t>
      </w:r>
    </w:p>
    <w:p>
      <w:pPr>
        <w:spacing w:after="100"/>
        <w:jc w:val="center"/>
      </w:pPr>
      <w:r>
        <w:rPr>
          <w:b/>
          <w:bCs/>
          <w:sz w:val="32"/>
          <w:szCs w:val="32"/>
        </w:rPr>
        <w:t xml:space="preserve">KSI Fatal Collision Predictor</w:t>
      </w:r>
    </w:p>
    <w:p>
      <w:pPr>
        <w:spacing w:after="600"/>
        <w:jc w:val="center"/>
      </w:pPr>
      <w:r>
        <w:rPr>
          <w:sz w:val="26"/>
          <w:szCs w:val="26"/>
        </w:rPr>
        <w:t xml:space="preserve">Part 1 Report — Data Exploration &amp; Data Modelling</w:t>
      </w:r>
    </w:p>
    <w:p>
      <w:pPr>
        <w:jc w:val="center"/>
      </w:pPr>
      <w:r>
        <w:rPr>
          <w:sz w:val="22"/>
          <w:szCs w:val="22"/>
        </w:rPr>
        <w:t xml:space="preserve">Group #8, Section #1</w:t>
      </w:r>
    </w:p>
    <w:p>
      <w:pPr>
        <w:jc w:val="center"/>
      </w:pPr>
      <w:r>
        <w:rPr>
          <w:sz w:val="22"/>
          <w:szCs w:val="22"/>
        </w:rPr>
        <w:t xml:space="preserve">Team: Ali, Aboud, Ibrahim, Aidan</w:t>
      </w:r>
    </w:p>
    <w:p>
      <w:r>
        <w:br w:type="page"/>
      </w:r>
    </w:p>
    <w:p>
      <w:pPr>
        <w:pStyle w:val="Heading1"/>
        <w:spacing w:after="200" w:before="400"/>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Executive Summary</w:t>
      </w:r>
    </w:p>
    <w:p>
      <w:pPr>
        <w:spacing w:after="150"/>
      </w:pPr>
      <w:r>
        <w:rPr/>
        <w:t>This project develops a machine-learning classifier that predicts whether a Toronto traffic collision record is associated with a fatal outcome. The goal is to identify combinations of collision conditions that are linked to fatality risk and produce a model that can flag higher-risk cases.</w:t>
      </w:r>
    </w:p>
    <w:p>
      <w:pPr>
        <w:spacing w:after="150"/>
      </w:pPr>
      <w:r>
        <w:rPr/>
        <w:t>The project uses the Toronto Police Service Killed or Seriously Injured (KSI) dataset, covering 2006-2023. The dataset contains 18,957 person-level records, with 18,956 usable labelled records after removing the single blank ACCLASS value. Fatal records make up 14.09% of the labelled data, making recall on the fatal class more informative than raw accuracy.</w:t>
      </w:r>
    </w:p>
    <w:p>
      <w:pPr>
        <w:spacing w:after="150"/>
      </w:pPr>
      <w:r>
        <w:rPr/>
        <w:t>The data was cleaned and prepared through a scikit-learn preprocessing pipeline. Identifier, redundant, high-cardinality, structurally missing, and leakage-prone fields were removed; TIME was converted into an HOUR feature; categorical features were imputed and one-hot encoded; and numerical features were median-imputed and standardized. During Part 2, the INJURY field was also removed after it was found to almost directly reveal the ACCLASS target, preventing target leakage in the final modelling pipeline.</w:t>
      </w:r>
    </w:p>
    <w:p>
      <w:pPr>
        <w:spacing w:after="150"/>
      </w:pPr>
      <w:r>
        <w:rPr/>
        <w:t>Five classification models were compared: Logistic Regression, Decision Tree, Random Forest, Linear SVM, and a Multi-Layer Perceptron Neural Network. All five were fine-tuned using Grid Search and Randomized Search with five-fold cross-validation, with fatal-class recall used as the primary selection metric.</w:t>
      </w:r>
    </w:p>
    <w:p>
      <w:pPr>
        <w:spacing w:after="150"/>
      </w:pPr>
      <w:r>
        <w:rPr/>
        <w:t>After tuning on the corrected pipeline, Logistic Regression was selected as the final model. With C = 0.1 and class_weight = 'balanced', it achieved a fatal-class recall of 0.648, meaning it identified approximately 64.8% of the actual fatal cases in the held-out test data. Linear SVM reached the same recall, but Logistic Regression had a slightly higher F1-score and was therefore selected as the winner.</w:t>
      </w:r>
    </w:p>
    <w:p>
      <w:pPr>
        <w:spacing w:after="150"/>
      </w:pPr>
      <w:r>
        <w:rPr/>
        <w:t>The winning preprocessing pipeline and Logistic Regression classifier were saved together as final_model.pkl and deployed through a lightweight Flask application. The API can accept collision details and return a fatality-risk prediction. Identifying conditions associated with a higher likelihood of fatal outcomes could help inform where traffic-safety attention, preventive measures, and resources may be most valuable.</w:t>
      </w:r>
    </w:p>
    <w:p>
      <w:pPr>
        <w:pStyle w:val="Heading1"/>
        <w:spacing w:after="200" w:before="400"/>
      </w:pPr>
      <w:r>
        <w:t xml:space="preserve">Overview of Solution</w:t>
      </w:r>
    </w:p>
    <w:p>
      <w:pPr>
        <w:spacing w:after="150"/>
      </w:pPr>
      <w:r>
        <w:rPr/>
        <w:t>The solution follows an end-to-end machine-learning workflow: prepare the raw KSI data, transform it into model-ready features, compare five classification algorithms, fine-tune all five models, select the strongest model using fatal-class recall as the priority, and expose the selected predictor through a Flask API.</w:t>
      </w:r>
    </w:p>
    <w:p>
      <w:pPr>
        <w:spacing w:after="150"/>
      </w:pPr>
      <w:r>
        <w:rPr>
          <w:b/>
        </w:rPr>
        <w:t>Data Preparation</w:t>
      </w:r>
    </w:p>
    <w:p>
      <w:pPr>
        <w:spacing w:after="150"/>
      </w:pPr>
      <w:r>
        <w:rPr/>
        <w:t>ACCLASS is converted into a binary target where Fatal = 1 and all other usable labelled outcomes = 0, and rows with a blank target are removed. Identifier and redundant fields such as INDEX, ACCNUM, OBJECTID, OFFSET and duplicate location fields are excluded. FATAL_NO is removed because it directly reveals a fatal outcome, while STREET1 and STREET2 are dropped because of their very high cardinality. DATE and TIME are replaced by the engineered HOUR feature. In Part 2, INJURY was also removed after validation showed that INJURY = 'Fatal' matched ACCLASS = 'Fatal' in 974 of 975 relevant records, making it an unsafe leakage feature for prediction.</w:t>
      </w:r>
    </w:p>
    <w:p>
      <w:pPr>
        <w:spacing w:after="150"/>
      </w:pPr>
      <w:r>
        <w:rPr/>
        <w:t>Categorical variables are processed with most-frequent imputation and one-hot encoding. Numerical variables, including LATITUDE, LONGITUDE and HOUR, are median-imputed and standardized. Structurally missing pedestrian- and cyclist-specific fields are excluded rather than imputed across records where they do not apply. The data is split 80/20 using stratification so the approximately 14.09% fatal-class proportion is preserved.</w:t>
      </w:r>
    </w:p>
    <w:p>
      <w:pPr>
        <w:spacing w:after="150"/>
      </w:pPr>
      <w:r>
        <w:rPr>
          <w:b/>
        </w:rPr>
        <w:t>Modelling Approach</w:t>
      </w:r>
    </w:p>
    <w:p>
      <w:pPr>
        <w:spacing w:after="150"/>
      </w:pPr>
      <w:r>
        <w:rPr/>
        <w:t>The project compares Logistic Regression, Decision Tree, Random Forest, Linear SVM and a Neural Network (MLP). Using models from different families provides a broader comparison because the algorithms learn different types of relationships in the collision data. Where supported, class_weight = 'balanced' is used to reduce the tendency to ignore the minority fatal class.</w:t>
      </w:r>
    </w:p>
    <w:p>
      <w:pPr>
        <w:spacing w:after="150"/>
      </w:pPr>
      <w:r>
        <w:rPr/>
        <w:t>The corrected models are evaluated using accuracy, precision, recall, F1-score and ROC-AUC. Recall is prioritized because it answers the main safety question: of all records that were actually fatal, how many did the model correctly identify? Since roughly 86% of records are non-fatal, accuracy alone can look strong even when a model misses many true fatal cases. Each model is fine-tuned using both Grid Search and Randomized Search with five-fold cross-validation scored primarily on recall.</w:t>
      </w:r>
    </w:p>
    <w:p>
      <w:pPr>
        <w:spacing w:after="150"/>
      </w:pPr>
      <w:r>
        <w:rPr>
          <w:b/>
        </w:rPr>
        <w:t>Final Tuned Results</w:t>
      </w:r>
    </w:p>
    <w:p>
      <w:pPr>
        <w:spacing w:after="150"/>
      </w:pPr>
      <w:r>
        <w:rPr/>
        <w:t>The final tuned recalls on the corrected pipeline were 0.648 for Logistic Regression, 0.648 for Linear SVM, 0.635 for Decision Tree, 0.536 for Random Forest, and 0.330 for the Neural Network. Although the Neural Network achieved the highest ROC-AUC at 0.792, its recall at the default threshold was substantially lower than the leading models, so it was not selected for deployment.</w:t>
      </w:r>
    </w:p>
    <w:p>
      <w:pPr>
        <w:spacing w:after="150"/>
      </w:pPr>
      <w:r>
        <w:rPr>
          <w:b/>
        </w:rPr>
        <w:t>Model Selection and Tuning</w:t>
      </w:r>
    </w:p>
    <w:p>
      <w:pPr>
        <w:spacing w:after="150"/>
      </w:pPr>
      <w:r>
        <w:rPr/>
        <w:t>Logistic Regression was selected as the final model using C = 0.1 and class_weight = 'balanced'. It achieved accuracy = 0.685, precision = 0.256, recall = 0.648, F1-score = 0.367 and ROC-AUC = 0.722. Linear SVM achieved the same recall, but Logistic Regression had a slightly higher F1-score. Because missing a truly fatal case was considered more costly for this project than generating an additional false alarm, recall was given priority over accuracy, precision, or ROC-AUC when choosing the final model.</w:t>
      </w:r>
    </w:p>
    <w:p>
      <w:pPr>
        <w:spacing w:after="150"/>
      </w:pPr>
      <w:r>
        <w:rPr>
          <w:b/>
        </w:rPr>
        <w:t>Deployment</w:t>
      </w:r>
    </w:p>
    <w:p>
      <w:pPr>
        <w:spacing w:after="150"/>
      </w:pPr>
      <w:r>
        <w:rPr/>
        <w:t>The final preprocessing pipeline and selected Logistic Regression classifier are saved together in part2/final_model.pkl. The deployed Flask application in part2/app.py loads this file and provides both a simple web form and a POST /predict API endpoint. Incoming collision attributes pass through the same preprocessing logic used during training before the model generates a fatal or non-fatal prediction.</w:t>
      </w:r>
    </w:p>
    <w:p>
      <w:pPr>
        <w:spacing w:after="150"/>
      </w:pPr>
      <w:r>
        <w:rPr/>
        <w:t>The API accepts available collision-related fields such as district, lighting conditions, hour and speeding status, while omitted fields are handled by the same imputation pipeline used during training. End-to-end testing with a high-risk example (Scarborough, dark conditions, 5 AM and speeding) returned a FATAL prediction with an estimated probability of 73.3%, confirming that the saved model and Flask prediction workflow operate together successfully.</w:t>
      </w:r>
    </w:p>
    <w:p>
      <w:pPr>
        <w:pStyle w:val="Heading1"/>
        <w:spacing w:after="200" w:before="400"/>
      </w:pPr>
      <w:r>
        <w:t xml:space="preserve">Data Exploration and Findings</w:t>
      </w:r>
    </w:p>
    <w:p>
      <w:pPr>
        <w:spacing w:after="150"/>
      </w:pPr>
      <w:r>
        <w:t xml:space="preserve">Dataset: Toronto Police “Killed or Seriously Injured (KSI)” collision data, 2006–2023, 18,957 records. Downloaded as CSV from the Toronto Police Public Safety Data Portal (data.tps.ca). Field definitions from the accompanying KSI Glossary PDF. Note: the dataset is per-person, not per-collision — the same ACCNUM repeats for every person involved in a crash.</w:t>
      </w:r>
    </w:p>
    <w:p>
      <w:pPr>
        <w:spacing w:after="150"/>
      </w:pPr>
      <w:r>
        <w:t xml:space="preserve">Target column: ACCLASS. Real values found in the data: Fatal, Non-Fatal Injury, Property Damage O (truncated “Property Damage Only”), and blank. Blank rows (no usable label) were dropped, leaving 18,956 labeled records. Binary target defined as 1 = Fatal, 0 = everything else. Overall fatal rate: 14.09%.</w:t>
      </w:r>
    </w:p>
    <w:p>
      <w:pPr>
        <w:pStyle w:val="Heading2"/>
        <w:spacing w:after="150" w:before="300"/>
      </w:pPr>
      <w:r>
        <w:t xml:space="preserve">Group 1 — Location &amp; Conditions</w:t>
      </w:r>
    </w:p>
    <w:p>
      <w:pPr>
        <w:spacing w:after="150"/>
      </w:pPr>
      <w:r>
        <w:t xml:space="preserve">Columns: STREET1, STREET2, ROAD_CLASS, DISTRICT, LATITUDE, LONGITUDE, ACCLOC, TRAFFCTL, VISIBILITY, LIGHT, RDSFCOND, DIVISION, NEIGHBOURHOOD_158, HOOD_158, DATE, TIME. Originally assigned to Aboud; completed by Aidan after no analysis was submitted by the group's internal deadline.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2500"/>
        <w:gridCol w:w="2500"/>
      </w:tblGrid>
      <w:tr>
        <w:tc>
          <w:tcPr>
            <w:tcW w:type="dxa" w:w="4200"/>
            <w:shd w:fill="D9D9D9" w:val="clear"/>
            <w:tcMar>
              <w:top w:type="dxa" w:w="80"/>
              <w:left w:type="dxa" w:w="100"/>
              <w:bottom w:type="dxa" w:w="80"/>
              <w:right w:type="dxa" w:w="100"/>
            </w:tcMar>
            <w:vAlign w:val="center"/>
          </w:tcPr>
          <w:p>
            <w:r>
              <w:rPr>
                <w:b/>
                <w:bCs/>
                <w:sz w:val="20"/>
                <w:szCs w:val="20"/>
              </w:rPr>
              <w:t xml:space="preserve">Column</w:t>
            </w:r>
          </w:p>
        </w:tc>
        <w:tc>
          <w:tcPr>
            <w:tcW w:type="dxa" w:w="2500"/>
            <w:shd w:fill="D9D9D9" w:val="clear"/>
            <w:tcMar>
              <w:top w:type="dxa" w:w="80"/>
              <w:left w:type="dxa" w:w="100"/>
              <w:bottom w:type="dxa" w:w="80"/>
              <w:right w:type="dxa" w:w="100"/>
            </w:tcMar>
            <w:vAlign w:val="center"/>
          </w:tcPr>
          <w:p>
            <w:r>
              <w:rPr>
                <w:b/>
                <w:bCs/>
                <w:sz w:val="20"/>
                <w:szCs w:val="20"/>
              </w:rPr>
              <w:t xml:space="preserve">% Missing</w:t>
            </w:r>
          </w:p>
        </w:tc>
        <w:tc>
          <w:tcPr>
            <w:tcW w:type="dxa" w:w="2500"/>
            <w:shd w:fill="D9D9D9" w:val="clear"/>
            <w:tcMar>
              <w:top w:type="dxa" w:w="80"/>
              <w:left w:type="dxa" w:w="100"/>
              <w:bottom w:type="dxa" w:w="80"/>
              <w:right w:type="dxa" w:w="100"/>
            </w:tcMar>
            <w:vAlign w:val="center"/>
          </w:tcPr>
          <w:p>
            <w:r>
              <w:rPr>
                <w:b/>
                <w:bCs/>
                <w:sz w:val="20"/>
                <w:szCs w:val="20"/>
              </w:rPr>
              <w:t xml:space="preserve">Unique Values</w:t>
            </w:r>
          </w:p>
        </w:tc>
      </w:tr>
      <w:tr>
        <w:tc>
          <w:tcPr>
            <w:tcW w:type="dxa" w:w="4200"/>
            <w:tcMar>
              <w:top w:type="dxa" w:w="80"/>
              <w:left w:type="dxa" w:w="100"/>
              <w:bottom w:type="dxa" w:w="80"/>
              <w:right w:type="dxa" w:w="100"/>
            </w:tcMar>
            <w:vAlign w:val="center"/>
          </w:tcPr>
          <w:p>
            <w:r>
              <w:rPr>
                <w:b w:val="false"/>
                <w:bCs w:val="false"/>
                <w:sz w:val="20"/>
                <w:szCs w:val="20"/>
              </w:rPr>
              <w:t xml:space="preserve">ACCLOC</w:t>
            </w:r>
          </w:p>
        </w:tc>
        <w:tc>
          <w:tcPr>
            <w:tcW w:type="dxa" w:w="2500"/>
            <w:tcMar>
              <w:top w:type="dxa" w:w="80"/>
              <w:left w:type="dxa" w:w="100"/>
              <w:bottom w:type="dxa" w:w="80"/>
              <w:right w:type="dxa" w:w="100"/>
            </w:tcMar>
            <w:vAlign w:val="center"/>
          </w:tcPr>
          <w:p>
            <w:r>
              <w:rPr>
                <w:b w:val="false"/>
                <w:bCs w:val="false"/>
                <w:sz w:val="20"/>
                <w:szCs w:val="20"/>
              </w:rPr>
              <w:t xml:space="preserve">28.8%</w:t>
            </w:r>
          </w:p>
        </w:tc>
        <w:tc>
          <w:tcPr>
            <w:tcW w:type="dxa" w:w="2500"/>
            <w:tcMar>
              <w:top w:type="dxa" w:w="80"/>
              <w:left w:type="dxa" w:w="100"/>
              <w:bottom w:type="dxa" w:w="80"/>
              <w:right w:type="dxa" w:w="100"/>
            </w:tcMar>
            <w:vAlign w:val="center"/>
          </w:tcPr>
          <w:p>
            <w:r>
              <w:rPr>
                <w:b w:val="false"/>
                <w:bCs w:val="false"/>
                <w:sz w:val="20"/>
                <w:szCs w:val="20"/>
              </w:rPr>
              <w:t xml:space="preserve">10</w:t>
            </w:r>
          </w:p>
        </w:tc>
      </w:tr>
      <w:tr>
        <w:tc>
          <w:tcPr>
            <w:tcW w:type="dxa" w:w="4200"/>
            <w:tcMar>
              <w:top w:type="dxa" w:w="80"/>
              <w:left w:type="dxa" w:w="100"/>
              <w:bottom w:type="dxa" w:w="80"/>
              <w:right w:type="dxa" w:w="100"/>
            </w:tcMar>
            <w:vAlign w:val="center"/>
          </w:tcPr>
          <w:p>
            <w:r>
              <w:rPr>
                <w:b w:val="false"/>
                <w:bCs w:val="false"/>
                <w:sz w:val="20"/>
                <w:szCs w:val="20"/>
              </w:rPr>
              <w:t xml:space="preserve">STREET2</w:t>
            </w:r>
          </w:p>
        </w:tc>
        <w:tc>
          <w:tcPr>
            <w:tcW w:type="dxa" w:w="2500"/>
            <w:tcMar>
              <w:top w:type="dxa" w:w="80"/>
              <w:left w:type="dxa" w:w="100"/>
              <w:bottom w:type="dxa" w:w="80"/>
              <w:right w:type="dxa" w:w="100"/>
            </w:tcMar>
            <w:vAlign w:val="center"/>
          </w:tcPr>
          <w:p>
            <w:r>
              <w:rPr>
                <w:b w:val="false"/>
                <w:bCs w:val="false"/>
                <w:sz w:val="20"/>
                <w:szCs w:val="20"/>
              </w:rPr>
              <w:t xml:space="preserve">9.0%</w:t>
            </w:r>
          </w:p>
        </w:tc>
        <w:tc>
          <w:tcPr>
            <w:tcW w:type="dxa" w:w="2500"/>
            <w:tcMar>
              <w:top w:type="dxa" w:w="80"/>
              <w:left w:type="dxa" w:w="100"/>
              <w:bottom w:type="dxa" w:w="80"/>
              <w:right w:type="dxa" w:w="100"/>
            </w:tcMar>
            <w:vAlign w:val="center"/>
          </w:tcPr>
          <w:p>
            <w:r>
              <w:rPr>
                <w:b w:val="false"/>
                <w:bCs w:val="false"/>
                <w:sz w:val="20"/>
                <w:szCs w:val="20"/>
              </w:rPr>
              <w:t xml:space="preserve">2,821</w:t>
            </w:r>
          </w:p>
        </w:tc>
      </w:tr>
      <w:tr>
        <w:tc>
          <w:tcPr>
            <w:tcW w:type="dxa" w:w="4200"/>
            <w:tcMar>
              <w:top w:type="dxa" w:w="80"/>
              <w:left w:type="dxa" w:w="100"/>
              <w:bottom w:type="dxa" w:w="80"/>
              <w:right w:type="dxa" w:w="100"/>
            </w:tcMar>
            <w:vAlign w:val="center"/>
          </w:tcPr>
          <w:p>
            <w:r>
              <w:rPr>
                <w:b w:val="false"/>
                <w:bCs w:val="false"/>
                <w:sz w:val="20"/>
                <w:szCs w:val="20"/>
              </w:rPr>
              <w:t xml:space="preserve">ROAD_CLASS</w:t>
            </w:r>
          </w:p>
        </w:tc>
        <w:tc>
          <w:tcPr>
            <w:tcW w:type="dxa" w:w="2500"/>
            <w:tcMar>
              <w:top w:type="dxa" w:w="80"/>
              <w:left w:type="dxa" w:w="100"/>
              <w:bottom w:type="dxa" w:w="80"/>
              <w:right w:type="dxa" w:w="100"/>
            </w:tcMar>
            <w:vAlign w:val="center"/>
          </w:tcPr>
          <w:p>
            <w:r>
              <w:rPr>
                <w:b w:val="false"/>
                <w:bCs w:val="false"/>
                <w:sz w:val="20"/>
                <w:szCs w:val="20"/>
              </w:rPr>
              <w:t xml:space="preserve">2.6%</w:t>
            </w:r>
          </w:p>
        </w:tc>
        <w:tc>
          <w:tcPr>
            <w:tcW w:type="dxa" w:w="2500"/>
            <w:tcMar>
              <w:top w:type="dxa" w:w="80"/>
              <w:left w:type="dxa" w:w="100"/>
              <w:bottom w:type="dxa" w:w="80"/>
              <w:right w:type="dxa" w:w="100"/>
            </w:tcMar>
            <w:vAlign w:val="center"/>
          </w:tcPr>
          <w:p>
            <w:r>
              <w:rPr>
                <w:b w:val="false"/>
                <w:bCs w:val="false"/>
                <w:sz w:val="20"/>
                <w:szCs w:val="20"/>
              </w:rPr>
              <w:t xml:space="preserve">11</w:t>
            </w:r>
          </w:p>
        </w:tc>
      </w:tr>
      <w:tr>
        <w:tc>
          <w:tcPr>
            <w:tcW w:type="dxa" w:w="4200"/>
            <w:tcMar>
              <w:top w:type="dxa" w:w="80"/>
              <w:left w:type="dxa" w:w="100"/>
              <w:bottom w:type="dxa" w:w="80"/>
              <w:right w:type="dxa" w:w="100"/>
            </w:tcMar>
            <w:vAlign w:val="center"/>
          </w:tcPr>
          <w:p>
            <w:r>
              <w:rPr>
                <w:b w:val="false"/>
                <w:bCs w:val="false"/>
                <w:sz w:val="20"/>
                <w:szCs w:val="20"/>
              </w:rPr>
              <w:t xml:space="preserve">DISTRICT</w:t>
            </w:r>
          </w:p>
        </w:tc>
        <w:tc>
          <w:tcPr>
            <w:tcW w:type="dxa" w:w="2500"/>
            <w:tcMar>
              <w:top w:type="dxa" w:w="80"/>
              <w:left w:type="dxa" w:w="100"/>
              <w:bottom w:type="dxa" w:w="80"/>
              <w:right w:type="dxa" w:w="100"/>
            </w:tcMar>
            <w:vAlign w:val="center"/>
          </w:tcPr>
          <w:p>
            <w:r>
              <w:rPr>
                <w:b w:val="false"/>
                <w:bCs w:val="false"/>
                <w:sz w:val="20"/>
                <w:szCs w:val="20"/>
              </w:rPr>
              <w:t xml:space="preserve">1.2%</w:t>
            </w:r>
          </w:p>
        </w:tc>
        <w:tc>
          <w:tcPr>
            <w:tcW w:type="dxa" w:w="2500"/>
            <w:tcMar>
              <w:top w:type="dxa" w:w="80"/>
              <w:left w:type="dxa" w:w="100"/>
              <w:bottom w:type="dxa" w:w="80"/>
              <w:right w:type="dxa" w:w="100"/>
            </w:tcMar>
            <w:vAlign w:val="center"/>
          </w:tcPr>
          <w:p>
            <w:r>
              <w:rPr>
                <w:b w:val="false"/>
                <w:bCs w:val="false"/>
                <w:sz w:val="20"/>
                <w:szCs w:val="20"/>
              </w:rPr>
              <w:t xml:space="preserve">4</w:t>
            </w:r>
          </w:p>
        </w:tc>
      </w:tr>
      <w:tr>
        <w:tc>
          <w:tcPr>
            <w:tcW w:type="dxa" w:w="4200"/>
            <w:tcMar>
              <w:top w:type="dxa" w:w="80"/>
              <w:left w:type="dxa" w:w="100"/>
              <w:bottom w:type="dxa" w:w="80"/>
              <w:right w:type="dxa" w:w="100"/>
            </w:tcMar>
            <w:vAlign w:val="center"/>
          </w:tcPr>
          <w:p>
            <w:r>
              <w:rPr>
                <w:b w:val="false"/>
                <w:bCs w:val="false"/>
                <w:sz w:val="20"/>
                <w:szCs w:val="20"/>
              </w:rPr>
              <w:t xml:space="preserve">TRAFFCTL</w:t>
            </w:r>
          </w:p>
        </w:tc>
        <w:tc>
          <w:tcPr>
            <w:tcW w:type="dxa" w:w="2500"/>
            <w:tcMar>
              <w:top w:type="dxa" w:w="80"/>
              <w:left w:type="dxa" w:w="100"/>
              <w:bottom w:type="dxa" w:w="80"/>
              <w:right w:type="dxa" w:w="100"/>
            </w:tcMar>
            <w:vAlign w:val="center"/>
          </w:tcPr>
          <w:p>
            <w:r>
              <w:rPr>
                <w:b w:val="false"/>
                <w:bCs w:val="false"/>
                <w:sz w:val="20"/>
                <w:szCs w:val="20"/>
              </w:rPr>
              <w:t xml:space="preserve">0.4%</w:t>
            </w:r>
          </w:p>
        </w:tc>
        <w:tc>
          <w:tcPr>
            <w:tcW w:type="dxa" w:w="2500"/>
            <w:tcMar>
              <w:top w:type="dxa" w:w="80"/>
              <w:left w:type="dxa" w:w="100"/>
              <w:bottom w:type="dxa" w:w="80"/>
              <w:right w:type="dxa" w:w="100"/>
            </w:tcMar>
            <w:vAlign w:val="center"/>
          </w:tcPr>
          <w:p>
            <w:r>
              <w:rPr>
                <w:b w:val="false"/>
                <w:bCs w:val="false"/>
                <w:sz w:val="20"/>
                <w:szCs w:val="20"/>
              </w:rPr>
              <w:t xml:space="preserve">10</w:t>
            </w:r>
          </w:p>
        </w:tc>
      </w:tr>
      <w:tr>
        <w:tc>
          <w:tcPr>
            <w:tcW w:type="dxa" w:w="4200"/>
            <w:tcMar>
              <w:top w:type="dxa" w:w="80"/>
              <w:left w:type="dxa" w:w="100"/>
              <w:bottom w:type="dxa" w:w="80"/>
              <w:right w:type="dxa" w:w="100"/>
            </w:tcMar>
            <w:vAlign w:val="center"/>
          </w:tcPr>
          <w:p>
            <w:r>
              <w:rPr>
                <w:b w:val="false"/>
                <w:bCs w:val="false"/>
                <w:sz w:val="20"/>
                <w:szCs w:val="20"/>
              </w:rPr>
              <w:t xml:space="preserve">RDSFCOND</w:t>
            </w:r>
          </w:p>
        </w:tc>
        <w:tc>
          <w:tcPr>
            <w:tcW w:type="dxa" w:w="2500"/>
            <w:tcMar>
              <w:top w:type="dxa" w:w="80"/>
              <w:left w:type="dxa" w:w="100"/>
              <w:bottom w:type="dxa" w:w="80"/>
              <w:right w:type="dxa" w:w="100"/>
            </w:tcMar>
            <w:vAlign w:val="center"/>
          </w:tcPr>
          <w:p>
            <w:r>
              <w:rPr>
                <w:b w:val="false"/>
                <w:bCs w:val="false"/>
                <w:sz w:val="20"/>
                <w:szCs w:val="20"/>
              </w:rPr>
              <w:t xml:space="preserve">0.2%</w:t>
            </w:r>
          </w:p>
        </w:tc>
        <w:tc>
          <w:tcPr>
            <w:tcW w:type="dxa" w:w="2500"/>
            <w:tcMar>
              <w:top w:type="dxa" w:w="80"/>
              <w:left w:type="dxa" w:w="100"/>
              <w:bottom w:type="dxa" w:w="80"/>
              <w:right w:type="dxa" w:w="100"/>
            </w:tcMar>
            <w:vAlign w:val="center"/>
          </w:tcPr>
          <w:p>
            <w:r>
              <w:rPr>
                <w:b w:val="false"/>
                <w:bCs w:val="false"/>
                <w:sz w:val="20"/>
                <w:szCs w:val="20"/>
              </w:rPr>
              <w:t xml:space="preserve">9</w:t>
            </w:r>
          </w:p>
        </w:tc>
      </w:tr>
      <w:tr>
        <w:tc>
          <w:tcPr>
            <w:tcW w:type="dxa" w:w="4200"/>
            <w:tcMar>
              <w:top w:type="dxa" w:w="80"/>
              <w:left w:type="dxa" w:w="100"/>
              <w:bottom w:type="dxa" w:w="80"/>
              <w:right w:type="dxa" w:w="100"/>
            </w:tcMar>
            <w:vAlign w:val="center"/>
          </w:tcPr>
          <w:p>
            <w:r>
              <w:rPr>
                <w:b w:val="false"/>
                <w:bCs w:val="false"/>
                <w:sz w:val="20"/>
                <w:szCs w:val="20"/>
              </w:rPr>
              <w:t xml:space="preserve">VISIBILITY</w:t>
            </w:r>
          </w:p>
        </w:tc>
        <w:tc>
          <w:tcPr>
            <w:tcW w:type="dxa" w:w="2500"/>
            <w:tcMar>
              <w:top w:type="dxa" w:w="80"/>
              <w:left w:type="dxa" w:w="100"/>
              <w:bottom w:type="dxa" w:w="80"/>
              <w:right w:type="dxa" w:w="100"/>
            </w:tcMar>
            <w:vAlign w:val="center"/>
          </w:tcPr>
          <w:p>
            <w:r>
              <w:rPr>
                <w:b w:val="false"/>
                <w:bCs w:val="false"/>
                <w:sz w:val="20"/>
                <w:szCs w:val="20"/>
              </w:rPr>
              <w:t xml:space="preserve">0.1%</w:t>
            </w:r>
          </w:p>
        </w:tc>
        <w:tc>
          <w:tcPr>
            <w:tcW w:type="dxa" w:w="2500"/>
            <w:tcMar>
              <w:top w:type="dxa" w:w="80"/>
              <w:left w:type="dxa" w:w="100"/>
              <w:bottom w:type="dxa" w:w="80"/>
              <w:right w:type="dxa" w:w="100"/>
            </w:tcMar>
            <w:vAlign w:val="center"/>
          </w:tcPr>
          <w:p>
            <w:r>
              <w:rPr>
                <w:b w:val="false"/>
                <w:bCs w:val="false"/>
                <w:sz w:val="20"/>
                <w:szCs w:val="20"/>
              </w:rPr>
              <w:t xml:space="preserve">8</w:t>
            </w:r>
          </w:p>
        </w:tc>
      </w:tr>
      <w:tr>
        <w:tc>
          <w:tcPr>
            <w:tcW w:type="dxa" w:w="4200"/>
            <w:tcMar>
              <w:top w:type="dxa" w:w="80"/>
              <w:left w:type="dxa" w:w="100"/>
              <w:bottom w:type="dxa" w:w="80"/>
              <w:right w:type="dxa" w:w="100"/>
            </w:tcMar>
            <w:vAlign w:val="center"/>
          </w:tcPr>
          <w:p>
            <w:r>
              <w:rPr>
                <w:b w:val="false"/>
                <w:bCs w:val="false"/>
                <w:sz w:val="20"/>
                <w:szCs w:val="20"/>
              </w:rPr>
              <w:t xml:space="preserve">STREET1</w:t>
            </w:r>
          </w:p>
        </w:tc>
        <w:tc>
          <w:tcPr>
            <w:tcW w:type="dxa" w:w="2500"/>
            <w:tcMar>
              <w:top w:type="dxa" w:w="80"/>
              <w:left w:type="dxa" w:w="100"/>
              <w:bottom w:type="dxa" w:w="80"/>
              <w:right w:type="dxa" w:w="100"/>
            </w:tcMar>
            <w:vAlign w:val="center"/>
          </w:tcPr>
          <w:p>
            <w:r>
              <w:rPr>
                <w:b w:val="false"/>
                <w:bCs w:val="false"/>
                <w:sz w:val="20"/>
                <w:szCs w:val="20"/>
              </w:rPr>
              <w:t xml:space="preserve">0.0%</w:t>
            </w:r>
          </w:p>
        </w:tc>
        <w:tc>
          <w:tcPr>
            <w:tcW w:type="dxa" w:w="2500"/>
            <w:tcMar>
              <w:top w:type="dxa" w:w="80"/>
              <w:left w:type="dxa" w:w="100"/>
              <w:bottom w:type="dxa" w:w="80"/>
              <w:right w:type="dxa" w:w="100"/>
            </w:tcMar>
            <w:vAlign w:val="center"/>
          </w:tcPr>
          <w:p>
            <w:r>
              <w:rPr>
                <w:b w:val="false"/>
                <w:bCs w:val="false"/>
                <w:sz w:val="20"/>
                <w:szCs w:val="20"/>
              </w:rPr>
              <w:t xml:space="preserve">1,942</w:t>
            </w:r>
          </w:p>
        </w:tc>
      </w:tr>
      <w:tr>
        <w:tc>
          <w:tcPr>
            <w:tcW w:type="dxa" w:w="4200"/>
            <w:tcMar>
              <w:top w:type="dxa" w:w="80"/>
              <w:left w:type="dxa" w:w="100"/>
              <w:bottom w:type="dxa" w:w="80"/>
              <w:right w:type="dxa" w:w="100"/>
            </w:tcMar>
            <w:vAlign w:val="center"/>
          </w:tcPr>
          <w:p>
            <w:r>
              <w:rPr>
                <w:b w:val="false"/>
                <w:bCs w:val="false"/>
                <w:sz w:val="20"/>
                <w:szCs w:val="20"/>
              </w:rPr>
              <w:t xml:space="preserve">LATITUDE / LONGITUDE</w:t>
            </w:r>
          </w:p>
        </w:tc>
        <w:tc>
          <w:tcPr>
            <w:tcW w:type="dxa" w:w="2500"/>
            <w:tcMar>
              <w:top w:type="dxa" w:w="80"/>
              <w:left w:type="dxa" w:w="100"/>
              <w:bottom w:type="dxa" w:w="80"/>
              <w:right w:type="dxa" w:w="100"/>
            </w:tcMar>
            <w:vAlign w:val="center"/>
          </w:tcPr>
          <w:p>
            <w:r>
              <w:rPr>
                <w:b w:val="false"/>
                <w:bCs w:val="false"/>
                <w:sz w:val="20"/>
                <w:szCs w:val="20"/>
              </w:rPr>
              <w:t xml:space="preserve">0.0%</w:t>
            </w:r>
          </w:p>
        </w:tc>
        <w:tc>
          <w:tcPr>
            <w:tcW w:type="dxa" w:w="2500"/>
            <w:tcMar>
              <w:top w:type="dxa" w:w="80"/>
              <w:left w:type="dxa" w:w="100"/>
              <w:bottom w:type="dxa" w:w="80"/>
              <w:right w:type="dxa" w:w="100"/>
            </w:tcMar>
            <w:vAlign w:val="center"/>
          </w:tcPr>
          <w:p>
            <w:r>
              <w:rPr>
                <w:b w:val="false"/>
                <w:bCs w:val="false"/>
                <w:sz w:val="20"/>
                <w:szCs w:val="20"/>
              </w:rPr>
              <w:t xml:space="preserve">~4,800-5,200</w:t>
            </w:r>
          </w:p>
        </w:tc>
      </w:tr>
      <w:tr>
        <w:tc>
          <w:tcPr>
            <w:tcW w:type="dxa" w:w="4200"/>
            <w:tcMar>
              <w:top w:type="dxa" w:w="80"/>
              <w:left w:type="dxa" w:w="100"/>
              <w:bottom w:type="dxa" w:w="80"/>
              <w:right w:type="dxa" w:w="100"/>
            </w:tcMar>
            <w:vAlign w:val="center"/>
          </w:tcPr>
          <w:p>
            <w:r>
              <w:rPr>
                <w:b w:val="false"/>
                <w:bCs w:val="false"/>
                <w:sz w:val="20"/>
                <w:szCs w:val="20"/>
              </w:rPr>
              <w:t xml:space="preserve">LIGHT</w:t>
            </w:r>
          </w:p>
        </w:tc>
        <w:tc>
          <w:tcPr>
            <w:tcW w:type="dxa" w:w="2500"/>
            <w:tcMar>
              <w:top w:type="dxa" w:w="80"/>
              <w:left w:type="dxa" w:w="100"/>
              <w:bottom w:type="dxa" w:w="80"/>
              <w:right w:type="dxa" w:w="100"/>
            </w:tcMar>
            <w:vAlign w:val="center"/>
          </w:tcPr>
          <w:p>
            <w:r>
              <w:rPr>
                <w:b w:val="false"/>
                <w:bCs w:val="false"/>
                <w:sz w:val="20"/>
                <w:szCs w:val="20"/>
              </w:rPr>
              <w:t xml:space="preserve">0.0%</w:t>
            </w:r>
          </w:p>
        </w:tc>
        <w:tc>
          <w:tcPr>
            <w:tcW w:type="dxa" w:w="2500"/>
            <w:tcMar>
              <w:top w:type="dxa" w:w="80"/>
              <w:left w:type="dxa" w:w="100"/>
              <w:bottom w:type="dxa" w:w="80"/>
              <w:right w:type="dxa" w:w="100"/>
            </w:tcMar>
            <w:vAlign w:val="center"/>
          </w:tcPr>
          <w:p>
            <w:r>
              <w:rPr>
                <w:b w:val="false"/>
                <w:bCs w:val="false"/>
                <w:sz w:val="20"/>
                <w:szCs w:val="20"/>
              </w:rPr>
              <w:t xml:space="preserve">9</w:t>
            </w:r>
          </w:p>
        </w:tc>
      </w:tr>
      <w:tr>
        <w:tc>
          <w:tcPr>
            <w:tcW w:type="dxa" w:w="4200"/>
            <w:tcMar>
              <w:top w:type="dxa" w:w="80"/>
              <w:left w:type="dxa" w:w="100"/>
              <w:bottom w:type="dxa" w:w="80"/>
              <w:right w:type="dxa" w:w="100"/>
            </w:tcMar>
            <w:vAlign w:val="center"/>
          </w:tcPr>
          <w:p>
            <w:r>
              <w:rPr>
                <w:b w:val="false"/>
                <w:bCs w:val="false"/>
                <w:sz w:val="20"/>
                <w:szCs w:val="20"/>
              </w:rPr>
              <w:t xml:space="preserve">DIVISION</w:t>
            </w:r>
          </w:p>
        </w:tc>
        <w:tc>
          <w:tcPr>
            <w:tcW w:type="dxa" w:w="2500"/>
            <w:tcMar>
              <w:top w:type="dxa" w:w="80"/>
              <w:left w:type="dxa" w:w="100"/>
              <w:bottom w:type="dxa" w:w="80"/>
              <w:right w:type="dxa" w:w="100"/>
            </w:tcMar>
            <w:vAlign w:val="center"/>
          </w:tcPr>
          <w:p>
            <w:r>
              <w:rPr>
                <w:b w:val="false"/>
                <w:bCs w:val="false"/>
                <w:sz w:val="20"/>
                <w:szCs w:val="20"/>
              </w:rPr>
              <w:t xml:space="preserve">0.0%</w:t>
            </w:r>
          </w:p>
        </w:tc>
        <w:tc>
          <w:tcPr>
            <w:tcW w:type="dxa" w:w="2500"/>
            <w:tcMar>
              <w:top w:type="dxa" w:w="80"/>
              <w:left w:type="dxa" w:w="100"/>
              <w:bottom w:type="dxa" w:w="80"/>
              <w:right w:type="dxa" w:w="100"/>
            </w:tcMar>
            <w:vAlign w:val="center"/>
          </w:tcPr>
          <w:p>
            <w:r>
              <w:rPr>
                <w:b w:val="false"/>
                <w:bCs w:val="false"/>
                <w:sz w:val="20"/>
                <w:szCs w:val="20"/>
              </w:rPr>
              <w:t xml:space="preserve">17</w:t>
            </w:r>
          </w:p>
        </w:tc>
      </w:tr>
      <w:tr>
        <w:tc>
          <w:tcPr>
            <w:tcW w:type="dxa" w:w="4200"/>
            <w:tcMar>
              <w:top w:type="dxa" w:w="80"/>
              <w:left w:type="dxa" w:w="100"/>
              <w:bottom w:type="dxa" w:w="80"/>
              <w:right w:type="dxa" w:w="100"/>
            </w:tcMar>
            <w:vAlign w:val="center"/>
          </w:tcPr>
          <w:p>
            <w:r>
              <w:rPr>
                <w:b w:val="false"/>
                <w:bCs w:val="false"/>
                <w:sz w:val="20"/>
                <w:szCs w:val="20"/>
              </w:rPr>
              <w:t xml:space="preserve">NEIGHBOURHOOD_158 / HOOD_158</w:t>
            </w:r>
          </w:p>
        </w:tc>
        <w:tc>
          <w:tcPr>
            <w:tcW w:type="dxa" w:w="2500"/>
            <w:tcMar>
              <w:top w:type="dxa" w:w="80"/>
              <w:left w:type="dxa" w:w="100"/>
              <w:bottom w:type="dxa" w:w="80"/>
              <w:right w:type="dxa" w:w="100"/>
            </w:tcMar>
            <w:vAlign w:val="center"/>
          </w:tcPr>
          <w:p>
            <w:r>
              <w:rPr>
                <w:b w:val="false"/>
                <w:bCs w:val="false"/>
                <w:sz w:val="20"/>
                <w:szCs w:val="20"/>
              </w:rPr>
              <w:t xml:space="preserve">0.0%</w:t>
            </w:r>
          </w:p>
        </w:tc>
        <w:tc>
          <w:tcPr>
            <w:tcW w:type="dxa" w:w="2500"/>
            <w:tcMar>
              <w:top w:type="dxa" w:w="80"/>
              <w:left w:type="dxa" w:w="100"/>
              <w:bottom w:type="dxa" w:w="80"/>
              <w:right w:type="dxa" w:w="100"/>
            </w:tcMar>
            <w:vAlign w:val="center"/>
          </w:tcPr>
          <w:p>
            <w:r>
              <w:rPr>
                <w:b w:val="false"/>
                <w:bCs w:val="false"/>
                <w:sz w:val="20"/>
                <w:szCs w:val="20"/>
              </w:rPr>
              <w:t xml:space="preserve">159</w:t>
            </w:r>
          </w:p>
        </w:tc>
      </w:tr>
      <w:tr>
        <w:tc>
          <w:tcPr>
            <w:tcW w:type="dxa" w:w="4200"/>
            <w:tcMar>
              <w:top w:type="dxa" w:w="80"/>
              <w:left w:type="dxa" w:w="100"/>
              <w:bottom w:type="dxa" w:w="80"/>
              <w:right w:type="dxa" w:w="100"/>
            </w:tcMar>
            <w:vAlign w:val="center"/>
          </w:tcPr>
          <w:p>
            <w:r>
              <w:rPr>
                <w:b w:val="false"/>
                <w:bCs w:val="false"/>
                <w:sz w:val="20"/>
                <w:szCs w:val="20"/>
              </w:rPr>
              <w:t xml:space="preserve">DATE</w:t>
            </w:r>
          </w:p>
        </w:tc>
        <w:tc>
          <w:tcPr>
            <w:tcW w:type="dxa" w:w="2500"/>
            <w:tcMar>
              <w:top w:type="dxa" w:w="80"/>
              <w:left w:type="dxa" w:w="100"/>
              <w:bottom w:type="dxa" w:w="80"/>
              <w:right w:type="dxa" w:w="100"/>
            </w:tcMar>
            <w:vAlign w:val="center"/>
          </w:tcPr>
          <w:p>
            <w:r>
              <w:rPr>
                <w:b w:val="false"/>
                <w:bCs w:val="false"/>
                <w:sz w:val="20"/>
                <w:szCs w:val="20"/>
              </w:rPr>
              <w:t xml:space="preserve">0.0%</w:t>
            </w:r>
          </w:p>
        </w:tc>
        <w:tc>
          <w:tcPr>
            <w:tcW w:type="dxa" w:w="2500"/>
            <w:tcMar>
              <w:top w:type="dxa" w:w="80"/>
              <w:left w:type="dxa" w:w="100"/>
              <w:bottom w:type="dxa" w:w="80"/>
              <w:right w:type="dxa" w:w="100"/>
            </w:tcMar>
            <w:vAlign w:val="center"/>
          </w:tcPr>
          <w:p>
            <w:r>
              <w:rPr>
                <w:b w:val="false"/>
                <w:bCs w:val="false"/>
                <w:sz w:val="20"/>
                <w:szCs w:val="20"/>
              </w:rPr>
              <w:t xml:space="preserve">4,128</w:t>
            </w:r>
          </w:p>
        </w:tc>
      </w:tr>
      <w:tr>
        <w:tc>
          <w:tcPr>
            <w:tcW w:type="dxa" w:w="4200"/>
            <w:tcMar>
              <w:top w:type="dxa" w:w="80"/>
              <w:left w:type="dxa" w:w="100"/>
              <w:bottom w:type="dxa" w:w="80"/>
              <w:right w:type="dxa" w:w="100"/>
            </w:tcMar>
            <w:vAlign w:val="center"/>
          </w:tcPr>
          <w:p>
            <w:r>
              <w:rPr>
                <w:b w:val="false"/>
                <w:bCs w:val="false"/>
                <w:sz w:val="20"/>
                <w:szCs w:val="20"/>
              </w:rPr>
              <w:t xml:space="preserve">TIME</w:t>
            </w:r>
          </w:p>
        </w:tc>
        <w:tc>
          <w:tcPr>
            <w:tcW w:type="dxa" w:w="2500"/>
            <w:tcMar>
              <w:top w:type="dxa" w:w="80"/>
              <w:left w:type="dxa" w:w="100"/>
              <w:bottom w:type="dxa" w:w="80"/>
              <w:right w:type="dxa" w:w="100"/>
            </w:tcMar>
            <w:vAlign w:val="center"/>
          </w:tcPr>
          <w:p>
            <w:r>
              <w:rPr>
                <w:b w:val="false"/>
                <w:bCs w:val="false"/>
                <w:sz w:val="20"/>
                <w:szCs w:val="20"/>
              </w:rPr>
              <w:t xml:space="preserve">0.0%</w:t>
            </w:r>
          </w:p>
        </w:tc>
        <w:tc>
          <w:tcPr>
            <w:tcW w:type="dxa" w:w="2500"/>
            <w:tcMar>
              <w:top w:type="dxa" w:w="80"/>
              <w:left w:type="dxa" w:w="100"/>
              <w:bottom w:type="dxa" w:w="80"/>
              <w:right w:type="dxa" w:w="100"/>
            </w:tcMar>
            <w:vAlign w:val="center"/>
          </w:tcPr>
          <w:p>
            <w:r>
              <w:rPr>
                <w:b w:val="false"/>
                <w:bCs w:val="false"/>
                <w:sz w:val="20"/>
                <w:szCs w:val="20"/>
              </w:rPr>
              <w:t xml:space="preserve">1,341</w:t>
            </w:r>
          </w:p>
        </w:tc>
      </w:tr>
    </w:tbl>
    <w:p>
      <w:pPr>
        <w:spacing w:after="200"/>
      </w:pPr>
    </w:p>
    <w:p>
      <w:pPr>
        <w:spacing w:after="150"/>
      </w:pPr>
      <w:r>
        <w:t xml:space="preserve">Most columns are close to fully populated. ACCLOC is the most incomplete at 28.8% missing. Several columns are high-cardinality (STREET1, STREET2, LATITUDE/LONGITUDE, DATE, TIME, NEIGHBOURHOOD_158/HOOD_158) and will need special handling before modelling — either dropped or converted into coarser engineered features rather than one-hot encoded directly.</w:t>
      </w:r>
    </w:p>
    <w:p>
      <w:pPr>
        <w:spacing w:after="150"/>
      </w:pPr>
      <w:r>
        <w:t xml:space="preserve">Fatal-rate patterns by category: DISTRICT ranges from 10.5% (Toronto and East York) to 18.4% (Scarborough). TRAFFCTL shows No Control intersections at 15.9% vs. Traffic Signal at 12.7%. LIGHT shows Dark conditions at 17.4% vs. Daylight at 12.6%. ACCLOC shows Non-Intersection collisions at 19.3% vs. At Intersection at 12.8%. RDSFCOND is counterintuitive — Dry roads show a higher fatal rate (14.0%) than Wet (13.6%), Snow (9.3%), or Ice (3.9%), plausibly reflecting higher speeds / less caution in good conditions.</w:t>
      </w:r>
    </w:p>
    <w:p>
      <w:pPr>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2676525"/>
                    </a:xfrm>
                    <a:prstGeom prst="rect">
                      <a:avLst/>
                    </a:prstGeom>
                  </pic:spPr>
                </pic:pic>
              </a:graphicData>
            </a:graphic>
          </wp:inline>
        </w:drawing>
      </w:r>
    </w:p>
    <w:p>
      <w:pPr>
        <w:spacing w:after="150"/>
      </w:pPr>
    </w:p>
    <w:p>
      <w:pPr>
        <w:spacing w:after="150"/>
      </w:pPr>
      <w:r>
        <w:t xml:space="preserve">TIME was engineered into an HOUR feature (0-23) since it's stored as HHMM without leading zeros. 5 AM stands out with a 26.6% fatal rate (smaller sample, 312 records); early-morning hours generally run higher than mid-day. Late afternoon (3-5 PM), despite higher traffic volume, shows some of the lowest fatal rates (~9-13%) — congestion likely means slower speeds.</w:t>
      </w:r>
    </w:p>
    <w:p>
      <w:pPr>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286000"/>
                    </a:xfrm>
                    <a:prstGeom prst="rect">
                      <a:avLst/>
                    </a:prstGeom>
                  </pic:spPr>
                </pic:pic>
              </a:graphicData>
            </a:graphic>
          </wp:inline>
        </w:drawing>
      </w:r>
    </w:p>
    <w:p>
      <w:pPr>
        <w:spacing w:after="150"/>
      </w:pPr>
    </w:p>
    <w:p>
      <w:pPr>
        <w:pStyle w:val="Heading2"/>
        <w:spacing w:after="150" w:before="300"/>
      </w:pPr>
      <w:r>
        <w:t xml:space="preserve">Group 2 — People &amp; Vehicles Involved (Ibrahim)</w:t>
      </w:r>
    </w:p>
    <w:p>
      <w:pPr>
        <w:spacing w:after="150"/>
      </w:pPr>
      <w:r>
        <w:t xml:space="preserve">Columns: INVTYPE, INVAGE, INJURY, FATAL_NO, INITDIR, VEHTYPE, MANOEUVER, DRIVACT, DRIVCOND, PEDTYPE, PEDACT, PEDCOND, CYCLISTYPE, CYCACT, CYCCOND. Full column-by-column analysis submitted by Ibrahim; the summary below reflects that analysis.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2500"/>
        <w:gridCol w:w="2500"/>
      </w:tblGrid>
      <w:tr>
        <w:tc>
          <w:tcPr>
            <w:tcW w:type="dxa" w:w="4200"/>
            <w:shd w:fill="D9D9D9" w:val="clear"/>
            <w:tcMar>
              <w:top w:type="dxa" w:w="80"/>
              <w:left w:type="dxa" w:w="100"/>
              <w:bottom w:type="dxa" w:w="80"/>
              <w:right w:type="dxa" w:w="100"/>
            </w:tcMar>
            <w:vAlign w:val="center"/>
          </w:tcPr>
          <w:p>
            <w:r>
              <w:rPr>
                <w:b/>
                <w:bCs/>
                <w:sz w:val="20"/>
                <w:szCs w:val="20"/>
              </w:rPr>
              <w:t xml:space="preserve">Column</w:t>
            </w:r>
          </w:p>
        </w:tc>
        <w:tc>
          <w:tcPr>
            <w:tcW w:type="dxa" w:w="2500"/>
            <w:shd w:fill="D9D9D9" w:val="clear"/>
            <w:tcMar>
              <w:top w:type="dxa" w:w="80"/>
              <w:left w:type="dxa" w:w="100"/>
              <w:bottom w:type="dxa" w:w="80"/>
              <w:right w:type="dxa" w:w="100"/>
            </w:tcMar>
            <w:vAlign w:val="center"/>
          </w:tcPr>
          <w:p>
            <w:r>
              <w:rPr>
                <w:b/>
                <w:bCs/>
                <w:sz w:val="20"/>
                <w:szCs w:val="20"/>
              </w:rPr>
              <w:t xml:space="preserve">% Missing</w:t>
            </w:r>
          </w:p>
        </w:tc>
        <w:tc>
          <w:tcPr>
            <w:tcW w:type="dxa" w:w="2500"/>
            <w:shd w:fill="D9D9D9" w:val="clear"/>
            <w:tcMar>
              <w:top w:type="dxa" w:w="80"/>
              <w:left w:type="dxa" w:w="100"/>
              <w:bottom w:type="dxa" w:w="80"/>
              <w:right w:type="dxa" w:w="100"/>
            </w:tcMar>
            <w:vAlign w:val="center"/>
          </w:tcPr>
          <w:p>
            <w:r>
              <w:rPr>
                <w:b/>
                <w:bCs/>
                <w:sz w:val="20"/>
                <w:szCs w:val="20"/>
              </w:rPr>
              <w:t xml:space="preserve">Unique Values</w:t>
            </w:r>
          </w:p>
        </w:tc>
      </w:tr>
      <w:tr>
        <w:tc>
          <w:tcPr>
            <w:tcW w:type="dxa" w:w="4200"/>
            <w:tcMar>
              <w:top w:type="dxa" w:w="80"/>
              <w:left w:type="dxa" w:w="100"/>
              <w:bottom w:type="dxa" w:w="80"/>
              <w:right w:type="dxa" w:w="100"/>
            </w:tcMar>
            <w:vAlign w:val="center"/>
          </w:tcPr>
          <w:p>
            <w:r>
              <w:rPr>
                <w:b w:val="false"/>
                <w:bCs w:val="false"/>
                <w:sz w:val="20"/>
                <w:szCs w:val="20"/>
              </w:rPr>
              <w:t xml:space="preserve">CYCLISTYPE / CYCACT / CYCCOND</w:t>
            </w:r>
          </w:p>
        </w:tc>
        <w:tc>
          <w:tcPr>
            <w:tcW w:type="dxa" w:w="2500"/>
            <w:tcMar>
              <w:top w:type="dxa" w:w="80"/>
              <w:left w:type="dxa" w:w="100"/>
              <w:bottom w:type="dxa" w:w="80"/>
              <w:right w:type="dxa" w:w="100"/>
            </w:tcMar>
            <w:vAlign w:val="center"/>
          </w:tcPr>
          <w:p>
            <w:r>
              <w:rPr>
                <w:b w:val="false"/>
                <w:bCs w:val="false"/>
                <w:sz w:val="20"/>
                <w:szCs w:val="20"/>
              </w:rPr>
              <w:t xml:space="preserve">95.8%</w:t>
            </w:r>
          </w:p>
        </w:tc>
        <w:tc>
          <w:tcPr>
            <w:tcW w:type="dxa" w:w="2500"/>
            <w:tcMar>
              <w:top w:type="dxa" w:w="80"/>
              <w:left w:type="dxa" w:w="100"/>
              <w:bottom w:type="dxa" w:w="80"/>
              <w:right w:type="dxa" w:w="100"/>
            </w:tcMar>
            <w:vAlign w:val="center"/>
          </w:tcPr>
          <w:p>
            <w:r>
              <w:rPr>
                <w:b w:val="false"/>
                <w:bCs w:val="false"/>
                <w:sz w:val="20"/>
                <w:szCs w:val="20"/>
              </w:rPr>
              <w:t xml:space="preserve">10-22</w:t>
            </w:r>
          </w:p>
        </w:tc>
      </w:tr>
      <w:tr>
        <w:tc>
          <w:tcPr>
            <w:tcW w:type="dxa" w:w="4200"/>
            <w:tcMar>
              <w:top w:type="dxa" w:w="80"/>
              <w:left w:type="dxa" w:w="100"/>
              <w:bottom w:type="dxa" w:w="80"/>
              <w:right w:type="dxa" w:w="100"/>
            </w:tcMar>
            <w:vAlign w:val="center"/>
          </w:tcPr>
          <w:p>
            <w:r>
              <w:rPr>
                <w:b w:val="false"/>
                <w:bCs w:val="false"/>
                <w:sz w:val="20"/>
                <w:szCs w:val="20"/>
              </w:rPr>
              <w:t xml:space="preserve">FATAL_NO</w:t>
            </w:r>
          </w:p>
        </w:tc>
        <w:tc>
          <w:tcPr>
            <w:tcW w:type="dxa" w:w="2500"/>
            <w:tcMar>
              <w:top w:type="dxa" w:w="80"/>
              <w:left w:type="dxa" w:w="100"/>
              <w:bottom w:type="dxa" w:w="80"/>
              <w:right w:type="dxa" w:w="100"/>
            </w:tcMar>
            <w:vAlign w:val="center"/>
          </w:tcPr>
          <w:p>
            <w:r>
              <w:rPr>
                <w:b w:val="false"/>
                <w:bCs w:val="false"/>
                <w:sz w:val="20"/>
                <w:szCs w:val="20"/>
              </w:rPr>
              <w:t xml:space="preserve">95.4%</w:t>
            </w:r>
          </w:p>
        </w:tc>
        <w:tc>
          <w:tcPr>
            <w:tcW w:type="dxa" w:w="2500"/>
            <w:tcMar>
              <w:top w:type="dxa" w:w="80"/>
              <w:left w:type="dxa" w:w="100"/>
              <w:bottom w:type="dxa" w:w="80"/>
              <w:right w:type="dxa" w:w="100"/>
            </w:tcMar>
            <w:vAlign w:val="center"/>
          </w:tcPr>
          <w:p>
            <w:r>
              <w:rPr>
                <w:b w:val="false"/>
                <w:bCs w:val="false"/>
                <w:sz w:val="20"/>
                <w:szCs w:val="20"/>
              </w:rPr>
              <w:t xml:space="preserve">78</w:t>
            </w:r>
          </w:p>
        </w:tc>
      </w:tr>
      <w:tr>
        <w:tc>
          <w:tcPr>
            <w:tcW w:type="dxa" w:w="4200"/>
            <w:tcMar>
              <w:top w:type="dxa" w:w="80"/>
              <w:left w:type="dxa" w:w="100"/>
              <w:bottom w:type="dxa" w:w="80"/>
              <w:right w:type="dxa" w:w="100"/>
            </w:tcMar>
            <w:vAlign w:val="center"/>
          </w:tcPr>
          <w:p>
            <w:r>
              <w:rPr>
                <w:b w:val="false"/>
                <w:bCs w:val="false"/>
                <w:sz w:val="20"/>
                <w:szCs w:val="20"/>
              </w:rPr>
              <w:t xml:space="preserve">PEDTYPE / PEDACT</w:t>
            </w:r>
          </w:p>
        </w:tc>
        <w:tc>
          <w:tcPr>
            <w:tcW w:type="dxa" w:w="2500"/>
            <w:tcMar>
              <w:top w:type="dxa" w:w="80"/>
              <w:left w:type="dxa" w:w="100"/>
              <w:bottom w:type="dxa" w:w="80"/>
              <w:right w:type="dxa" w:w="100"/>
            </w:tcMar>
            <w:vAlign w:val="center"/>
          </w:tcPr>
          <w:p>
            <w:r>
              <w:rPr>
                <w:b w:val="false"/>
                <w:bCs w:val="false"/>
                <w:sz w:val="20"/>
                <w:szCs w:val="20"/>
              </w:rPr>
              <w:t xml:space="preserve">83.0%</w:t>
            </w:r>
          </w:p>
        </w:tc>
        <w:tc>
          <w:tcPr>
            <w:tcW w:type="dxa" w:w="2500"/>
            <w:tcMar>
              <w:top w:type="dxa" w:w="80"/>
              <w:left w:type="dxa" w:w="100"/>
              <w:bottom w:type="dxa" w:w="80"/>
              <w:right w:type="dxa" w:w="100"/>
            </w:tcMar>
            <w:vAlign w:val="center"/>
          </w:tcPr>
          <w:p>
            <w:r>
              <w:rPr>
                <w:b w:val="false"/>
                <w:bCs w:val="false"/>
                <w:sz w:val="20"/>
                <w:szCs w:val="20"/>
              </w:rPr>
              <w:t xml:space="preserve">15-16</w:t>
            </w:r>
          </w:p>
        </w:tc>
      </w:tr>
      <w:tr>
        <w:tc>
          <w:tcPr>
            <w:tcW w:type="dxa" w:w="4200"/>
            <w:tcMar>
              <w:top w:type="dxa" w:w="80"/>
              <w:left w:type="dxa" w:w="100"/>
              <w:bottom w:type="dxa" w:w="80"/>
              <w:right w:type="dxa" w:w="100"/>
            </w:tcMar>
            <w:vAlign w:val="center"/>
          </w:tcPr>
          <w:p>
            <w:r>
              <w:rPr>
                <w:b w:val="false"/>
                <w:bCs w:val="false"/>
                <w:sz w:val="20"/>
                <w:szCs w:val="20"/>
              </w:rPr>
              <w:t xml:space="preserve">PEDCOND</w:t>
            </w:r>
          </w:p>
        </w:tc>
        <w:tc>
          <w:tcPr>
            <w:tcW w:type="dxa" w:w="2500"/>
            <w:tcMar>
              <w:top w:type="dxa" w:w="80"/>
              <w:left w:type="dxa" w:w="100"/>
              <w:bottom w:type="dxa" w:w="80"/>
              <w:right w:type="dxa" w:w="100"/>
            </w:tcMar>
            <w:vAlign w:val="center"/>
          </w:tcPr>
          <w:p>
            <w:r>
              <w:rPr>
                <w:b w:val="false"/>
                <w:bCs w:val="false"/>
                <w:sz w:val="20"/>
                <w:szCs w:val="20"/>
              </w:rPr>
              <w:t xml:space="preserve">82.9%</w:t>
            </w:r>
          </w:p>
        </w:tc>
        <w:tc>
          <w:tcPr>
            <w:tcW w:type="dxa" w:w="2500"/>
            <w:tcMar>
              <w:top w:type="dxa" w:w="80"/>
              <w:left w:type="dxa" w:w="100"/>
              <w:bottom w:type="dxa" w:w="80"/>
              <w:right w:type="dxa" w:w="100"/>
            </w:tcMar>
            <w:vAlign w:val="center"/>
          </w:tcPr>
          <w:p>
            <w:r>
              <w:rPr>
                <w:b w:val="false"/>
                <w:bCs w:val="false"/>
                <w:sz w:val="20"/>
                <w:szCs w:val="20"/>
              </w:rPr>
              <w:t xml:space="preserve">10</w:t>
            </w:r>
          </w:p>
        </w:tc>
      </w:tr>
      <w:tr>
        <w:tc>
          <w:tcPr>
            <w:tcW w:type="dxa" w:w="4200"/>
            <w:tcMar>
              <w:top w:type="dxa" w:w="80"/>
              <w:left w:type="dxa" w:w="100"/>
              <w:bottom w:type="dxa" w:w="80"/>
              <w:right w:type="dxa" w:w="100"/>
            </w:tcMar>
            <w:vAlign w:val="center"/>
          </w:tcPr>
          <w:p>
            <w:r>
              <w:rPr>
                <w:b w:val="false"/>
                <w:bCs w:val="false"/>
                <w:sz w:val="20"/>
                <w:szCs w:val="20"/>
              </w:rPr>
              <w:t xml:space="preserve">DRIVACT / DRIVCOND</w:t>
            </w:r>
          </w:p>
        </w:tc>
        <w:tc>
          <w:tcPr>
            <w:tcW w:type="dxa" w:w="2500"/>
            <w:tcMar>
              <w:top w:type="dxa" w:w="80"/>
              <w:left w:type="dxa" w:w="100"/>
              <w:bottom w:type="dxa" w:w="80"/>
              <w:right w:type="dxa" w:w="100"/>
            </w:tcMar>
            <w:vAlign w:val="center"/>
          </w:tcPr>
          <w:p>
            <w:r>
              <w:rPr>
                <w:b w:val="false"/>
                <w:bCs w:val="false"/>
                <w:sz w:val="20"/>
                <w:szCs w:val="20"/>
              </w:rPr>
              <w:t xml:space="preserve">49.0%</w:t>
            </w:r>
          </w:p>
        </w:tc>
        <w:tc>
          <w:tcPr>
            <w:tcW w:type="dxa" w:w="2500"/>
            <w:tcMar>
              <w:top w:type="dxa" w:w="80"/>
              <w:left w:type="dxa" w:w="100"/>
              <w:bottom w:type="dxa" w:w="80"/>
              <w:right w:type="dxa" w:w="100"/>
            </w:tcMar>
            <w:vAlign w:val="center"/>
          </w:tcPr>
          <w:p>
            <w:r>
              <w:rPr>
                <w:b w:val="false"/>
                <w:bCs w:val="false"/>
                <w:sz w:val="20"/>
                <w:szCs w:val="20"/>
              </w:rPr>
              <w:t xml:space="preserve">10-13</w:t>
            </w:r>
          </w:p>
        </w:tc>
      </w:tr>
      <w:tr>
        <w:tc>
          <w:tcPr>
            <w:tcW w:type="dxa" w:w="4200"/>
            <w:tcMar>
              <w:top w:type="dxa" w:w="80"/>
              <w:left w:type="dxa" w:w="100"/>
              <w:bottom w:type="dxa" w:w="80"/>
              <w:right w:type="dxa" w:w="100"/>
            </w:tcMar>
            <w:vAlign w:val="center"/>
          </w:tcPr>
          <w:p>
            <w:r>
              <w:rPr>
                <w:b w:val="false"/>
                <w:bCs w:val="false"/>
                <w:sz w:val="20"/>
                <w:szCs w:val="20"/>
              </w:rPr>
              <w:t xml:space="preserve">MANOEUVER</w:t>
            </w:r>
          </w:p>
        </w:tc>
        <w:tc>
          <w:tcPr>
            <w:tcW w:type="dxa" w:w="2500"/>
            <w:tcMar>
              <w:top w:type="dxa" w:w="80"/>
              <w:left w:type="dxa" w:w="100"/>
              <w:bottom w:type="dxa" w:w="80"/>
              <w:right w:type="dxa" w:w="100"/>
            </w:tcMar>
            <w:vAlign w:val="center"/>
          </w:tcPr>
          <w:p>
            <w:r>
              <w:rPr>
                <w:b w:val="false"/>
                <w:bCs w:val="false"/>
                <w:sz w:val="20"/>
                <w:szCs w:val="20"/>
              </w:rPr>
              <w:t xml:space="preserve">42.0%</w:t>
            </w:r>
          </w:p>
        </w:tc>
        <w:tc>
          <w:tcPr>
            <w:tcW w:type="dxa" w:w="2500"/>
            <w:tcMar>
              <w:top w:type="dxa" w:w="80"/>
              <w:left w:type="dxa" w:w="100"/>
              <w:bottom w:type="dxa" w:w="80"/>
              <w:right w:type="dxa" w:w="100"/>
            </w:tcMar>
            <w:vAlign w:val="center"/>
          </w:tcPr>
          <w:p>
            <w:r>
              <w:rPr>
                <w:b w:val="false"/>
                <w:bCs w:val="false"/>
                <w:sz w:val="20"/>
                <w:szCs w:val="20"/>
              </w:rPr>
              <w:t xml:space="preserve">16</w:t>
            </w:r>
          </w:p>
        </w:tc>
      </w:tr>
      <w:tr>
        <w:tc>
          <w:tcPr>
            <w:tcW w:type="dxa" w:w="4200"/>
            <w:tcMar>
              <w:top w:type="dxa" w:w="80"/>
              <w:left w:type="dxa" w:w="100"/>
              <w:bottom w:type="dxa" w:w="80"/>
              <w:right w:type="dxa" w:w="100"/>
            </w:tcMar>
            <w:vAlign w:val="center"/>
          </w:tcPr>
          <w:p>
            <w:r>
              <w:rPr>
                <w:b w:val="false"/>
                <w:bCs w:val="false"/>
                <w:sz w:val="20"/>
                <w:szCs w:val="20"/>
              </w:rPr>
              <w:t xml:space="preserve">INJURY</w:t>
            </w:r>
          </w:p>
        </w:tc>
        <w:tc>
          <w:tcPr>
            <w:tcW w:type="dxa" w:w="2500"/>
            <w:tcMar>
              <w:top w:type="dxa" w:w="80"/>
              <w:left w:type="dxa" w:w="100"/>
              <w:bottom w:type="dxa" w:w="80"/>
              <w:right w:type="dxa" w:w="100"/>
            </w:tcMar>
            <w:vAlign w:val="center"/>
          </w:tcPr>
          <w:p>
            <w:r>
              <w:rPr>
                <w:b w:val="false"/>
                <w:bCs w:val="false"/>
                <w:sz w:val="20"/>
                <w:szCs w:val="20"/>
              </w:rPr>
              <w:t xml:space="preserve">46.9%</w:t>
            </w:r>
          </w:p>
        </w:tc>
        <w:tc>
          <w:tcPr>
            <w:tcW w:type="dxa" w:w="2500"/>
            <w:tcMar>
              <w:top w:type="dxa" w:w="80"/>
              <w:left w:type="dxa" w:w="100"/>
              <w:bottom w:type="dxa" w:w="80"/>
              <w:right w:type="dxa" w:w="100"/>
            </w:tcMar>
            <w:vAlign w:val="center"/>
          </w:tcPr>
          <w:p>
            <w:r>
              <w:rPr>
                <w:b w:val="false"/>
                <w:bCs w:val="false"/>
                <w:sz w:val="20"/>
                <w:szCs w:val="20"/>
              </w:rPr>
              <w:t xml:space="preserve">4</w:t>
            </w:r>
          </w:p>
        </w:tc>
      </w:tr>
      <w:tr>
        <w:tc>
          <w:tcPr>
            <w:tcW w:type="dxa" w:w="4200"/>
            <w:tcMar>
              <w:top w:type="dxa" w:w="80"/>
              <w:left w:type="dxa" w:w="100"/>
              <w:bottom w:type="dxa" w:w="80"/>
              <w:right w:type="dxa" w:w="100"/>
            </w:tcMar>
            <w:vAlign w:val="center"/>
          </w:tcPr>
          <w:p>
            <w:r>
              <w:rPr>
                <w:b w:val="false"/>
                <w:bCs w:val="false"/>
                <w:sz w:val="20"/>
                <w:szCs w:val="20"/>
              </w:rPr>
              <w:t xml:space="preserve">INITDIR</w:t>
            </w:r>
          </w:p>
        </w:tc>
        <w:tc>
          <w:tcPr>
            <w:tcW w:type="dxa" w:w="2500"/>
            <w:tcMar>
              <w:top w:type="dxa" w:w="80"/>
              <w:left w:type="dxa" w:w="100"/>
              <w:bottom w:type="dxa" w:w="80"/>
              <w:right w:type="dxa" w:w="100"/>
            </w:tcMar>
            <w:vAlign w:val="center"/>
          </w:tcPr>
          <w:p>
            <w:r>
              <w:rPr>
                <w:b w:val="false"/>
                <w:bCs w:val="false"/>
                <w:sz w:val="20"/>
                <w:szCs w:val="20"/>
              </w:rPr>
              <w:t xml:space="preserve">27.8%</w:t>
            </w:r>
          </w:p>
        </w:tc>
        <w:tc>
          <w:tcPr>
            <w:tcW w:type="dxa" w:w="2500"/>
            <w:tcMar>
              <w:top w:type="dxa" w:w="80"/>
              <w:left w:type="dxa" w:w="100"/>
              <w:bottom w:type="dxa" w:w="80"/>
              <w:right w:type="dxa" w:w="100"/>
            </w:tcMar>
            <w:vAlign w:val="center"/>
          </w:tcPr>
          <w:p>
            <w:r>
              <w:rPr>
                <w:b w:val="false"/>
                <w:bCs w:val="false"/>
                <w:sz w:val="20"/>
                <w:szCs w:val="20"/>
              </w:rPr>
              <w:t xml:space="preserve">5</w:t>
            </w:r>
          </w:p>
        </w:tc>
      </w:tr>
      <w:tr>
        <w:tc>
          <w:tcPr>
            <w:tcW w:type="dxa" w:w="4200"/>
            <w:tcMar>
              <w:top w:type="dxa" w:w="80"/>
              <w:left w:type="dxa" w:w="100"/>
              <w:bottom w:type="dxa" w:w="80"/>
              <w:right w:type="dxa" w:w="100"/>
            </w:tcMar>
            <w:vAlign w:val="center"/>
          </w:tcPr>
          <w:p>
            <w:r>
              <w:rPr>
                <w:b w:val="false"/>
                <w:bCs w:val="false"/>
                <w:sz w:val="20"/>
                <w:szCs w:val="20"/>
              </w:rPr>
              <w:t xml:space="preserve">VEHTYPE</w:t>
            </w:r>
          </w:p>
        </w:tc>
        <w:tc>
          <w:tcPr>
            <w:tcW w:type="dxa" w:w="2500"/>
            <w:tcMar>
              <w:top w:type="dxa" w:w="80"/>
              <w:left w:type="dxa" w:w="100"/>
              <w:bottom w:type="dxa" w:w="80"/>
              <w:right w:type="dxa" w:w="100"/>
            </w:tcMar>
            <w:vAlign w:val="center"/>
          </w:tcPr>
          <w:p>
            <w:r>
              <w:rPr>
                <w:b w:val="false"/>
                <w:bCs w:val="false"/>
                <w:sz w:val="20"/>
                <w:szCs w:val="20"/>
              </w:rPr>
              <w:t xml:space="preserve">18.4%</w:t>
            </w:r>
          </w:p>
        </w:tc>
        <w:tc>
          <w:tcPr>
            <w:tcW w:type="dxa" w:w="2500"/>
            <w:tcMar>
              <w:top w:type="dxa" w:w="80"/>
              <w:left w:type="dxa" w:w="100"/>
              <w:bottom w:type="dxa" w:w="80"/>
              <w:right w:type="dxa" w:w="100"/>
            </w:tcMar>
            <w:vAlign w:val="center"/>
          </w:tcPr>
          <w:p>
            <w:r>
              <w:rPr>
                <w:b w:val="false"/>
                <w:bCs w:val="false"/>
                <w:sz w:val="20"/>
                <w:szCs w:val="20"/>
              </w:rPr>
              <w:t xml:space="preserve">32</w:t>
            </w:r>
          </w:p>
        </w:tc>
      </w:tr>
      <w:tr>
        <w:tc>
          <w:tcPr>
            <w:tcW w:type="dxa" w:w="4200"/>
            <w:tcMar>
              <w:top w:type="dxa" w:w="80"/>
              <w:left w:type="dxa" w:w="100"/>
              <w:bottom w:type="dxa" w:w="80"/>
              <w:right w:type="dxa" w:w="100"/>
            </w:tcMar>
            <w:vAlign w:val="center"/>
          </w:tcPr>
          <w:p>
            <w:r>
              <w:rPr>
                <w:b w:val="false"/>
                <w:bCs w:val="false"/>
                <w:sz w:val="20"/>
                <w:szCs w:val="20"/>
              </w:rPr>
              <w:t xml:space="preserve">INVTYPE</w:t>
            </w:r>
          </w:p>
        </w:tc>
        <w:tc>
          <w:tcPr>
            <w:tcW w:type="dxa" w:w="2500"/>
            <w:tcMar>
              <w:top w:type="dxa" w:w="80"/>
              <w:left w:type="dxa" w:w="100"/>
              <w:bottom w:type="dxa" w:w="80"/>
              <w:right w:type="dxa" w:w="100"/>
            </w:tcMar>
            <w:vAlign w:val="center"/>
          </w:tcPr>
          <w:p>
            <w:r>
              <w:rPr>
                <w:b w:val="false"/>
                <w:bCs w:val="false"/>
                <w:sz w:val="20"/>
                <w:szCs w:val="20"/>
              </w:rPr>
              <w:t xml:space="preserve">0.1%</w:t>
            </w:r>
          </w:p>
        </w:tc>
        <w:tc>
          <w:tcPr>
            <w:tcW w:type="dxa" w:w="2500"/>
            <w:tcMar>
              <w:top w:type="dxa" w:w="80"/>
              <w:left w:type="dxa" w:w="100"/>
              <w:bottom w:type="dxa" w:w="80"/>
              <w:right w:type="dxa" w:w="100"/>
            </w:tcMar>
            <w:vAlign w:val="center"/>
          </w:tcPr>
          <w:p>
            <w:r>
              <w:rPr>
                <w:b w:val="false"/>
                <w:bCs w:val="false"/>
                <w:sz w:val="20"/>
                <w:szCs w:val="20"/>
              </w:rPr>
              <w:t xml:space="preserve">19</w:t>
            </w:r>
          </w:p>
        </w:tc>
      </w:tr>
      <w:tr>
        <w:tc>
          <w:tcPr>
            <w:tcW w:type="dxa" w:w="4200"/>
            <w:tcMar>
              <w:top w:type="dxa" w:w="80"/>
              <w:left w:type="dxa" w:w="100"/>
              <w:bottom w:type="dxa" w:w="80"/>
              <w:right w:type="dxa" w:w="100"/>
            </w:tcMar>
            <w:vAlign w:val="center"/>
          </w:tcPr>
          <w:p>
            <w:r>
              <w:rPr>
                <w:b w:val="false"/>
                <w:bCs w:val="false"/>
                <w:sz w:val="20"/>
                <w:szCs w:val="20"/>
              </w:rPr>
              <w:t xml:space="preserve">INVAGE</w:t>
            </w:r>
          </w:p>
        </w:tc>
        <w:tc>
          <w:tcPr>
            <w:tcW w:type="dxa" w:w="2500"/>
            <w:tcMar>
              <w:top w:type="dxa" w:w="80"/>
              <w:left w:type="dxa" w:w="100"/>
              <w:bottom w:type="dxa" w:w="80"/>
              <w:right w:type="dxa" w:w="100"/>
            </w:tcMar>
            <w:vAlign w:val="center"/>
          </w:tcPr>
          <w:p>
            <w:r>
              <w:rPr>
                <w:b w:val="false"/>
                <w:bCs w:val="false"/>
                <w:sz w:val="20"/>
                <w:szCs w:val="20"/>
              </w:rPr>
              <w:t xml:space="preserve">0.0%</w:t>
            </w:r>
          </w:p>
        </w:tc>
        <w:tc>
          <w:tcPr>
            <w:tcW w:type="dxa" w:w="2500"/>
            <w:tcMar>
              <w:top w:type="dxa" w:w="80"/>
              <w:left w:type="dxa" w:w="100"/>
              <w:bottom w:type="dxa" w:w="80"/>
              <w:right w:type="dxa" w:w="100"/>
            </w:tcMar>
            <w:vAlign w:val="center"/>
          </w:tcPr>
          <w:p>
            <w:r>
              <w:rPr>
                <w:b w:val="false"/>
                <w:bCs w:val="false"/>
                <w:sz w:val="20"/>
                <w:szCs w:val="20"/>
              </w:rPr>
              <w:t xml:space="preserve">21</w:t>
            </w:r>
          </w:p>
        </w:tc>
      </w:tr>
    </w:tbl>
    <w:p>
      <w:pPr>
        <w:spacing w:after="200"/>
      </w:pPr>
    </w:p>
    <w:p>
      <w:pPr>
        <w:spacing w:after="150"/>
      </w:pPr>
      <w:r>
        <w:t xml:space="preserve">Missing data here is structural, not random: PEDTYPE/PEDACT/PEDCOND (~83% missing) and CYCLISTYPE/CYCACT/CYCCOND (~96% missing) only apply to pedestrian or cyclist records respectively — everyone else has no value by design. FATAL_NO (95.4% missing) is only filled for records where that specific person died. DRIVACT/DRIVCOND (~49% missing) and MANOEUVER (42% missing) only apply to drivers. These columns likely need per-involvement-type handling rather than blanket imputation across the whole dataset.</w:t>
      </w:r>
    </w:p>
    <w:p>
      <w:pPr>
        <w:spacing w:after="150"/>
      </w:pPr>
      <w:r>
        <w:t xml:space="preserve">Fatal-rate patterns: Truck Driver (25.7%) and Pedestrian (18.2%) involvement types show notably higher fatal rates than Driver (12.7%) or Cyclist (5.5%). DRIVACT shows Exceeding Speed Limit at 31.9% versus 13.5% for Driving Properly — the clearest single-factor signal in this group. DRIVCOND shows Ability Impaired by Drugs (40.0%, small sample) and Had Been Drinking (19.9%) both well above Normal (11.1%).</w:t>
      </w:r>
    </w:p>
    <w:p>
      <w:pPr>
        <w:jc w:val="center"/>
      </w:pPr>
      <w:r>
        <w:drawing>
          <wp:inline distT="0" distB="0" distL="0" distR="0">
            <wp:extent cx="4572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743200"/>
                    </a:xfrm>
                    <a:prstGeom prst="rect">
                      <a:avLst/>
                    </a:prstGeom>
                  </pic:spPr>
                </pic:pic>
              </a:graphicData>
            </a:graphic>
          </wp:inline>
        </w:drawing>
      </w:r>
    </w:p>
    <w:p>
      <w:pPr>
        <w:spacing w:after="150"/>
      </w:pPr>
    </w:p>
    <w:p>
      <w:pPr>
        <w:jc w:val="center"/>
      </w:pPr>
      <w:r>
        <w:drawing>
          <wp:inline distT="0" distB="0" distL="0" distR="0">
            <wp:extent cx="4572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743200"/>
                    </a:xfrm>
                    <a:prstGeom prst="rect">
                      <a:avLst/>
                    </a:prstGeom>
                  </pic:spPr>
                </pic:pic>
              </a:graphicData>
            </a:graphic>
          </wp:inline>
        </w:drawing>
      </w:r>
    </w:p>
    <w:p>
      <w:pPr>
        <w:spacing w:after="150"/>
      </w:pPr>
    </w:p>
    <w:p>
      <w:pPr>
        <w:pStyle w:val="Heading2"/>
        <w:spacing w:after="150" w:before="300"/>
      </w:pPr>
      <w:r>
        <w:t xml:space="preserve">Group 3 — Collision-Type Flags (13 Yes/No columns)</w:t>
      </w:r>
    </w:p>
    <w:p>
      <w:pPr>
        <w:spacing w:after="150"/>
      </w:pPr>
      <w:r>
        <w:t xml:space="preserve">Columns: PEDESTRIAN, CYCLIST, AUTOMOBILE, MOTORCYCLE, TRUCK, TRSN_CITY_VEH, EMERG_VEH, PASSENGER, SPEEDING, AG_DRIV, REDLIGHT, ALCOHOL, DISABILITY. Each column is “Yes” if that factor applied to the collision, blank otherwise — per the glossary, blank means “No,” not missing data. All 13 columns had 0% true missing values.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200"/>
      </w:tblGrid>
      <w:tr>
        <w:tc>
          <w:tcPr>
            <w:tcW w:type="dxa" w:w="2600"/>
            <w:shd w:fill="D9D9D9" w:val="clear"/>
            <w:tcMar>
              <w:top w:type="dxa" w:w="80"/>
              <w:left w:type="dxa" w:w="100"/>
              <w:bottom w:type="dxa" w:w="80"/>
              <w:right w:type="dxa" w:w="100"/>
            </w:tcMar>
            <w:vAlign w:val="center"/>
          </w:tcPr>
          <w:p>
            <w:r>
              <w:rPr>
                <w:b/>
                <w:bCs/>
                <w:sz w:val="20"/>
                <w:szCs w:val="20"/>
              </w:rPr>
              <w:t xml:space="preserve">Flag</w:t>
            </w:r>
          </w:p>
        </w:tc>
        <w:tc>
          <w:tcPr>
            <w:tcW w:type="dxa" w:w="2200"/>
            <w:shd w:fill="D9D9D9" w:val="clear"/>
            <w:tcMar>
              <w:top w:type="dxa" w:w="80"/>
              <w:left w:type="dxa" w:w="100"/>
              <w:bottom w:type="dxa" w:w="80"/>
              <w:right w:type="dxa" w:w="100"/>
            </w:tcMar>
            <w:vAlign w:val="center"/>
          </w:tcPr>
          <w:p>
            <w:r>
              <w:rPr>
                <w:b/>
                <w:bCs/>
                <w:sz w:val="20"/>
                <w:szCs w:val="20"/>
              </w:rPr>
              <w:t xml:space="preserve">% of records = Yes</w:t>
            </w:r>
          </w:p>
        </w:tc>
        <w:tc>
          <w:tcPr>
            <w:tcW w:type="dxa" w:w="2200"/>
            <w:shd w:fill="D9D9D9" w:val="clear"/>
            <w:tcMar>
              <w:top w:type="dxa" w:w="80"/>
              <w:left w:type="dxa" w:w="100"/>
              <w:bottom w:type="dxa" w:w="80"/>
              <w:right w:type="dxa" w:w="100"/>
            </w:tcMar>
            <w:vAlign w:val="center"/>
          </w:tcPr>
          <w:p>
            <w:r>
              <w:rPr>
                <w:b/>
                <w:bCs/>
                <w:sz w:val="20"/>
                <w:szCs w:val="20"/>
              </w:rPr>
              <w:t xml:space="preserve">Fatal rate if Yes</w:t>
            </w:r>
          </w:p>
        </w:tc>
        <w:tc>
          <w:tcPr>
            <w:tcW w:type="dxa" w:w="2200"/>
            <w:shd w:fill="D9D9D9" w:val="clear"/>
            <w:tcMar>
              <w:top w:type="dxa" w:w="80"/>
              <w:left w:type="dxa" w:w="100"/>
              <w:bottom w:type="dxa" w:w="80"/>
              <w:right w:type="dxa" w:w="100"/>
            </w:tcMar>
            <w:vAlign w:val="center"/>
          </w:tcPr>
          <w:p>
            <w:r>
              <w:rPr>
                <w:b/>
                <w:bCs/>
                <w:sz w:val="20"/>
                <w:szCs w:val="20"/>
              </w:rPr>
              <w:t xml:space="preserve">Fatal rate if No</w:t>
            </w:r>
          </w:p>
        </w:tc>
      </w:tr>
      <w:tr>
        <w:tc>
          <w:tcPr>
            <w:tcW w:type="dxa" w:w="2600"/>
            <w:tcMar>
              <w:top w:type="dxa" w:w="80"/>
              <w:left w:type="dxa" w:w="100"/>
              <w:bottom w:type="dxa" w:w="80"/>
              <w:right w:type="dxa" w:w="100"/>
            </w:tcMar>
            <w:vAlign w:val="center"/>
          </w:tcPr>
          <w:p>
            <w:r>
              <w:rPr>
                <w:b w:val="false"/>
                <w:bCs w:val="false"/>
                <w:sz w:val="20"/>
                <w:szCs w:val="20"/>
              </w:rPr>
              <w:t xml:space="preserve">TRUCK</w:t>
            </w:r>
          </w:p>
        </w:tc>
        <w:tc>
          <w:tcPr>
            <w:tcW w:type="dxa" w:w="2200"/>
            <w:tcMar>
              <w:top w:type="dxa" w:w="80"/>
              <w:left w:type="dxa" w:w="100"/>
              <w:bottom w:type="dxa" w:w="80"/>
              <w:right w:type="dxa" w:w="100"/>
            </w:tcMar>
            <w:vAlign w:val="center"/>
          </w:tcPr>
          <w:p>
            <w:r>
              <w:rPr>
                <w:b w:val="false"/>
                <w:bCs w:val="false"/>
                <w:sz w:val="20"/>
                <w:szCs w:val="20"/>
              </w:rPr>
              <w:t xml:space="preserve">6.17%</w:t>
            </w:r>
          </w:p>
        </w:tc>
        <w:tc>
          <w:tcPr>
            <w:tcW w:type="dxa" w:w="2200"/>
            <w:tcMar>
              <w:top w:type="dxa" w:w="80"/>
              <w:left w:type="dxa" w:w="100"/>
              <w:bottom w:type="dxa" w:w="80"/>
              <w:right w:type="dxa" w:w="100"/>
            </w:tcMar>
            <w:vAlign w:val="center"/>
          </w:tcPr>
          <w:p>
            <w:r>
              <w:rPr>
                <w:b w:val="false"/>
                <w:bCs w:val="false"/>
                <w:sz w:val="20"/>
                <w:szCs w:val="20"/>
              </w:rPr>
              <w:t xml:space="preserve">29.17%</w:t>
            </w:r>
          </w:p>
        </w:tc>
        <w:tc>
          <w:tcPr>
            <w:tcW w:type="dxa" w:w="2200"/>
            <w:tcMar>
              <w:top w:type="dxa" w:w="80"/>
              <w:left w:type="dxa" w:w="100"/>
              <w:bottom w:type="dxa" w:w="80"/>
              <w:right w:type="dxa" w:w="100"/>
            </w:tcMar>
            <w:vAlign w:val="center"/>
          </w:tcPr>
          <w:p>
            <w:r>
              <w:rPr>
                <w:b w:val="false"/>
                <w:bCs w:val="false"/>
                <w:sz w:val="20"/>
                <w:szCs w:val="20"/>
              </w:rPr>
              <w:t xml:space="preserve">13.09%</w:t>
            </w:r>
          </w:p>
        </w:tc>
      </w:tr>
      <w:tr>
        <w:tc>
          <w:tcPr>
            <w:tcW w:type="dxa" w:w="2600"/>
            <w:tcMar>
              <w:top w:type="dxa" w:w="80"/>
              <w:left w:type="dxa" w:w="100"/>
              <w:bottom w:type="dxa" w:w="80"/>
              <w:right w:type="dxa" w:w="100"/>
            </w:tcMar>
            <w:vAlign w:val="center"/>
          </w:tcPr>
          <w:p>
            <w:r>
              <w:rPr>
                <w:b w:val="false"/>
                <w:bCs w:val="false"/>
                <w:sz w:val="20"/>
                <w:szCs w:val="20"/>
              </w:rPr>
              <w:t xml:space="preserve">SPEEDING</w:t>
            </w:r>
          </w:p>
        </w:tc>
        <w:tc>
          <w:tcPr>
            <w:tcW w:type="dxa" w:w="2200"/>
            <w:tcMar>
              <w:top w:type="dxa" w:w="80"/>
              <w:left w:type="dxa" w:w="100"/>
              <w:bottom w:type="dxa" w:w="80"/>
              <w:right w:type="dxa" w:w="100"/>
            </w:tcMar>
            <w:vAlign w:val="center"/>
          </w:tcPr>
          <w:p>
            <w:r>
              <w:rPr>
                <w:b w:val="false"/>
                <w:bCs w:val="false"/>
                <w:sz w:val="20"/>
                <w:szCs w:val="20"/>
              </w:rPr>
              <w:t xml:space="preserve">14.21%</w:t>
            </w:r>
          </w:p>
        </w:tc>
        <w:tc>
          <w:tcPr>
            <w:tcW w:type="dxa" w:w="2200"/>
            <w:tcMar>
              <w:top w:type="dxa" w:w="80"/>
              <w:left w:type="dxa" w:w="100"/>
              <w:bottom w:type="dxa" w:w="80"/>
              <w:right w:type="dxa" w:w="100"/>
            </w:tcMar>
            <w:vAlign w:val="center"/>
          </w:tcPr>
          <w:p>
            <w:r>
              <w:rPr>
                <w:b w:val="false"/>
                <w:bCs w:val="false"/>
                <w:sz w:val="20"/>
                <w:szCs w:val="20"/>
              </w:rPr>
              <w:t xml:space="preserve">21.80%</w:t>
            </w:r>
          </w:p>
        </w:tc>
        <w:tc>
          <w:tcPr>
            <w:tcW w:type="dxa" w:w="2200"/>
            <w:tcMar>
              <w:top w:type="dxa" w:w="80"/>
              <w:left w:type="dxa" w:w="100"/>
              <w:bottom w:type="dxa" w:w="80"/>
              <w:right w:type="dxa" w:w="100"/>
            </w:tcMar>
            <w:vAlign w:val="center"/>
          </w:tcPr>
          <w:p>
            <w:r>
              <w:rPr>
                <w:b w:val="false"/>
                <w:bCs w:val="false"/>
                <w:sz w:val="20"/>
                <w:szCs w:val="20"/>
              </w:rPr>
              <w:t xml:space="preserve">12.81%</w:t>
            </w:r>
          </w:p>
        </w:tc>
      </w:tr>
      <w:tr>
        <w:tc>
          <w:tcPr>
            <w:tcW w:type="dxa" w:w="2600"/>
            <w:tcMar>
              <w:top w:type="dxa" w:w="80"/>
              <w:left w:type="dxa" w:w="100"/>
              <w:bottom w:type="dxa" w:w="80"/>
              <w:right w:type="dxa" w:w="100"/>
            </w:tcMar>
            <w:vAlign w:val="center"/>
          </w:tcPr>
          <w:p>
            <w:r>
              <w:rPr>
                <w:b w:val="false"/>
                <w:bCs w:val="false"/>
                <w:sz w:val="20"/>
                <w:szCs w:val="20"/>
              </w:rPr>
              <w:t xml:space="preserve">TRSN_CITY_VEH</w:t>
            </w:r>
          </w:p>
        </w:tc>
        <w:tc>
          <w:tcPr>
            <w:tcW w:type="dxa" w:w="2200"/>
            <w:tcMar>
              <w:top w:type="dxa" w:w="80"/>
              <w:left w:type="dxa" w:w="100"/>
              <w:bottom w:type="dxa" w:w="80"/>
              <w:right w:type="dxa" w:w="100"/>
            </w:tcMar>
            <w:vAlign w:val="center"/>
          </w:tcPr>
          <w:p>
            <w:r>
              <w:rPr>
                <w:b w:val="false"/>
                <w:bCs w:val="false"/>
                <w:sz w:val="20"/>
                <w:szCs w:val="20"/>
              </w:rPr>
              <w:t xml:space="preserve">6.06%</w:t>
            </w:r>
          </w:p>
        </w:tc>
        <w:tc>
          <w:tcPr>
            <w:tcW w:type="dxa" w:w="2200"/>
            <w:tcMar>
              <w:top w:type="dxa" w:w="80"/>
              <w:left w:type="dxa" w:w="100"/>
              <w:bottom w:type="dxa" w:w="80"/>
              <w:right w:type="dxa" w:w="100"/>
            </w:tcMar>
            <w:vAlign w:val="center"/>
          </w:tcPr>
          <w:p>
            <w:r>
              <w:rPr>
                <w:b w:val="false"/>
                <w:bCs w:val="false"/>
                <w:sz w:val="20"/>
                <w:szCs w:val="20"/>
              </w:rPr>
              <w:t xml:space="preserve">20.56%</w:t>
            </w:r>
          </w:p>
        </w:tc>
        <w:tc>
          <w:tcPr>
            <w:tcW w:type="dxa" w:w="2200"/>
            <w:tcMar>
              <w:top w:type="dxa" w:w="80"/>
              <w:left w:type="dxa" w:w="100"/>
              <w:bottom w:type="dxa" w:w="80"/>
              <w:right w:type="dxa" w:w="100"/>
            </w:tcMar>
            <w:vAlign w:val="center"/>
          </w:tcPr>
          <w:p>
            <w:r>
              <w:rPr>
                <w:b w:val="false"/>
                <w:bCs w:val="false"/>
                <w:sz w:val="20"/>
                <w:szCs w:val="20"/>
              </w:rPr>
              <w:t xml:space="preserve">13.67%</w:t>
            </w:r>
          </w:p>
        </w:tc>
      </w:tr>
      <w:tr>
        <w:tc>
          <w:tcPr>
            <w:tcW w:type="dxa" w:w="2600"/>
            <w:tcMar>
              <w:top w:type="dxa" w:w="80"/>
              <w:left w:type="dxa" w:w="100"/>
              <w:bottom w:type="dxa" w:w="80"/>
              <w:right w:type="dxa" w:w="100"/>
            </w:tcMar>
            <w:vAlign w:val="center"/>
          </w:tcPr>
          <w:p>
            <w:r>
              <w:rPr>
                <w:b w:val="false"/>
                <w:bCs w:val="false"/>
                <w:sz w:val="20"/>
                <w:szCs w:val="20"/>
              </w:rPr>
              <w:t xml:space="preserve">ALCOHOL</w:t>
            </w:r>
          </w:p>
        </w:tc>
        <w:tc>
          <w:tcPr>
            <w:tcW w:type="dxa" w:w="2200"/>
            <w:tcMar>
              <w:top w:type="dxa" w:w="80"/>
              <w:left w:type="dxa" w:w="100"/>
              <w:bottom w:type="dxa" w:w="80"/>
              <w:right w:type="dxa" w:w="100"/>
            </w:tcMar>
            <w:vAlign w:val="center"/>
          </w:tcPr>
          <w:p>
            <w:r>
              <w:rPr>
                <w:b w:val="false"/>
                <w:bCs w:val="false"/>
                <w:sz w:val="20"/>
                <w:szCs w:val="20"/>
              </w:rPr>
              <w:t xml:space="preserve">4.26%</w:t>
            </w:r>
          </w:p>
        </w:tc>
        <w:tc>
          <w:tcPr>
            <w:tcW w:type="dxa" w:w="2200"/>
            <w:tcMar>
              <w:top w:type="dxa" w:w="80"/>
              <w:left w:type="dxa" w:w="100"/>
              <w:bottom w:type="dxa" w:w="80"/>
              <w:right w:type="dxa" w:w="100"/>
            </w:tcMar>
            <w:vAlign w:val="center"/>
          </w:tcPr>
          <w:p>
            <w:r>
              <w:rPr>
                <w:b w:val="false"/>
                <w:bCs w:val="false"/>
                <w:sz w:val="20"/>
                <w:szCs w:val="20"/>
              </w:rPr>
              <w:t xml:space="preserve">18.81%</w:t>
            </w:r>
          </w:p>
        </w:tc>
        <w:tc>
          <w:tcPr>
            <w:tcW w:type="dxa" w:w="2200"/>
            <w:tcMar>
              <w:top w:type="dxa" w:w="80"/>
              <w:left w:type="dxa" w:w="100"/>
              <w:bottom w:type="dxa" w:w="80"/>
              <w:right w:type="dxa" w:w="100"/>
            </w:tcMar>
            <w:vAlign w:val="center"/>
          </w:tcPr>
          <w:p>
            <w:r>
              <w:rPr>
                <w:b w:val="false"/>
                <w:bCs w:val="false"/>
                <w:sz w:val="20"/>
                <w:szCs w:val="20"/>
              </w:rPr>
              <w:t xml:space="preserve">13.87%</w:t>
            </w:r>
          </w:p>
        </w:tc>
      </w:tr>
      <w:tr>
        <w:tc>
          <w:tcPr>
            <w:tcW w:type="dxa" w:w="2600"/>
            <w:tcMar>
              <w:top w:type="dxa" w:w="80"/>
              <w:left w:type="dxa" w:w="100"/>
              <w:bottom w:type="dxa" w:w="80"/>
              <w:right w:type="dxa" w:w="100"/>
            </w:tcMar>
            <w:vAlign w:val="center"/>
          </w:tcPr>
          <w:p>
            <w:r>
              <w:rPr>
                <w:b w:val="false"/>
                <w:bCs w:val="false"/>
                <w:sz w:val="20"/>
                <w:szCs w:val="20"/>
              </w:rPr>
              <w:t xml:space="preserve">PEDESTRIAN</w:t>
            </w:r>
          </w:p>
        </w:tc>
        <w:tc>
          <w:tcPr>
            <w:tcW w:type="dxa" w:w="2200"/>
            <w:tcMar>
              <w:top w:type="dxa" w:w="80"/>
              <w:left w:type="dxa" w:w="100"/>
              <w:bottom w:type="dxa" w:w="80"/>
              <w:right w:type="dxa" w:w="100"/>
            </w:tcMar>
            <w:vAlign w:val="center"/>
          </w:tcPr>
          <w:p>
            <w:r>
              <w:rPr>
                <w:b w:val="false"/>
                <w:bCs w:val="false"/>
                <w:sz w:val="20"/>
                <w:szCs w:val="20"/>
              </w:rPr>
              <w:t xml:space="preserve">40.56%</w:t>
            </w:r>
          </w:p>
        </w:tc>
        <w:tc>
          <w:tcPr>
            <w:tcW w:type="dxa" w:w="2200"/>
            <w:tcMar>
              <w:top w:type="dxa" w:w="80"/>
              <w:left w:type="dxa" w:w="100"/>
              <w:bottom w:type="dxa" w:w="80"/>
              <w:right w:type="dxa" w:w="100"/>
            </w:tcMar>
            <w:vAlign w:val="center"/>
          </w:tcPr>
          <w:p>
            <w:r>
              <w:rPr>
                <w:b w:val="false"/>
                <w:bCs w:val="false"/>
                <w:sz w:val="20"/>
                <w:szCs w:val="20"/>
              </w:rPr>
              <w:t xml:space="preserve">18.26%</w:t>
            </w:r>
          </w:p>
        </w:tc>
        <w:tc>
          <w:tcPr>
            <w:tcW w:type="dxa" w:w="2200"/>
            <w:tcMar>
              <w:top w:type="dxa" w:w="80"/>
              <w:left w:type="dxa" w:w="100"/>
              <w:bottom w:type="dxa" w:w="80"/>
              <w:right w:type="dxa" w:w="100"/>
            </w:tcMar>
            <w:vAlign w:val="center"/>
          </w:tcPr>
          <w:p>
            <w:r>
              <w:rPr>
                <w:b w:val="false"/>
                <w:bCs w:val="false"/>
                <w:sz w:val="20"/>
                <w:szCs w:val="20"/>
              </w:rPr>
              <w:t xml:space="preserve">11.24%</w:t>
            </w:r>
          </w:p>
        </w:tc>
      </w:tr>
      <w:tr>
        <w:tc>
          <w:tcPr>
            <w:tcW w:type="dxa" w:w="2600"/>
            <w:tcMar>
              <w:top w:type="dxa" w:w="80"/>
              <w:left w:type="dxa" w:w="100"/>
              <w:bottom w:type="dxa" w:w="80"/>
              <w:right w:type="dxa" w:w="100"/>
            </w:tcMar>
            <w:vAlign w:val="center"/>
          </w:tcPr>
          <w:p>
            <w:r>
              <w:rPr>
                <w:b w:val="false"/>
                <w:bCs w:val="false"/>
                <w:sz w:val="20"/>
                <w:szCs w:val="20"/>
              </w:rPr>
              <w:t xml:space="preserve">PASSENGER</w:t>
            </w:r>
          </w:p>
        </w:tc>
        <w:tc>
          <w:tcPr>
            <w:tcW w:type="dxa" w:w="2200"/>
            <w:tcMar>
              <w:top w:type="dxa" w:w="80"/>
              <w:left w:type="dxa" w:w="100"/>
              <w:bottom w:type="dxa" w:w="80"/>
              <w:right w:type="dxa" w:w="100"/>
            </w:tcMar>
            <w:vAlign w:val="center"/>
          </w:tcPr>
          <w:p>
            <w:r>
              <w:rPr>
                <w:b w:val="false"/>
                <w:bCs w:val="false"/>
                <w:sz w:val="20"/>
                <w:szCs w:val="20"/>
              </w:rPr>
              <w:t xml:space="preserve">37.89%</w:t>
            </w:r>
          </w:p>
        </w:tc>
        <w:tc>
          <w:tcPr>
            <w:tcW w:type="dxa" w:w="2200"/>
            <w:tcMar>
              <w:top w:type="dxa" w:w="80"/>
              <w:left w:type="dxa" w:w="100"/>
              <w:bottom w:type="dxa" w:w="80"/>
              <w:right w:type="dxa" w:w="100"/>
            </w:tcMar>
            <w:vAlign w:val="center"/>
          </w:tcPr>
          <w:p>
            <w:r>
              <w:rPr>
                <w:b w:val="false"/>
                <w:bCs w:val="false"/>
                <w:sz w:val="20"/>
                <w:szCs w:val="20"/>
              </w:rPr>
              <w:t xml:space="preserve">13.91%</w:t>
            </w:r>
          </w:p>
        </w:tc>
        <w:tc>
          <w:tcPr>
            <w:tcW w:type="dxa" w:w="2200"/>
            <w:tcMar>
              <w:top w:type="dxa" w:w="80"/>
              <w:left w:type="dxa" w:w="100"/>
              <w:bottom w:type="dxa" w:w="80"/>
              <w:right w:type="dxa" w:w="100"/>
            </w:tcMar>
            <w:vAlign w:val="center"/>
          </w:tcPr>
          <w:p>
            <w:r>
              <w:rPr>
                <w:b w:val="false"/>
                <w:bCs w:val="false"/>
                <w:sz w:val="20"/>
                <w:szCs w:val="20"/>
              </w:rPr>
              <w:t xml:space="preserve">14.19%</w:t>
            </w:r>
          </w:p>
        </w:tc>
      </w:tr>
      <w:tr>
        <w:tc>
          <w:tcPr>
            <w:tcW w:type="dxa" w:w="2600"/>
            <w:tcMar>
              <w:top w:type="dxa" w:w="80"/>
              <w:left w:type="dxa" w:w="100"/>
              <w:bottom w:type="dxa" w:w="80"/>
              <w:right w:type="dxa" w:w="100"/>
            </w:tcMar>
            <w:vAlign w:val="center"/>
          </w:tcPr>
          <w:p>
            <w:r>
              <w:rPr>
                <w:b w:val="false"/>
                <w:bCs w:val="false"/>
                <w:sz w:val="20"/>
                <w:szCs w:val="20"/>
              </w:rPr>
              <w:t xml:space="preserve">MOTORCYCLE</w:t>
            </w:r>
          </w:p>
        </w:tc>
        <w:tc>
          <w:tcPr>
            <w:tcW w:type="dxa" w:w="2200"/>
            <w:tcMar>
              <w:top w:type="dxa" w:w="80"/>
              <w:left w:type="dxa" w:w="100"/>
              <w:bottom w:type="dxa" w:w="80"/>
              <w:right w:type="dxa" w:w="100"/>
            </w:tcMar>
            <w:vAlign w:val="center"/>
          </w:tcPr>
          <w:p>
            <w:r>
              <w:rPr>
                <w:b w:val="false"/>
                <w:bCs w:val="false"/>
                <w:sz w:val="20"/>
                <w:szCs w:val="20"/>
              </w:rPr>
              <w:t xml:space="preserve">8.88%</w:t>
            </w:r>
          </w:p>
        </w:tc>
        <w:tc>
          <w:tcPr>
            <w:tcW w:type="dxa" w:w="2200"/>
            <w:tcMar>
              <w:top w:type="dxa" w:w="80"/>
              <w:left w:type="dxa" w:w="100"/>
              <w:bottom w:type="dxa" w:w="80"/>
              <w:right w:type="dxa" w:w="100"/>
            </w:tcMar>
            <w:vAlign w:val="center"/>
          </w:tcPr>
          <w:p>
            <w:r>
              <w:rPr>
                <w:b w:val="false"/>
                <w:bCs w:val="false"/>
                <w:sz w:val="20"/>
                <w:szCs w:val="20"/>
              </w:rPr>
              <w:t xml:space="preserve">13.48%</w:t>
            </w:r>
          </w:p>
        </w:tc>
        <w:tc>
          <w:tcPr>
            <w:tcW w:type="dxa" w:w="2200"/>
            <w:tcMar>
              <w:top w:type="dxa" w:w="80"/>
              <w:left w:type="dxa" w:w="100"/>
              <w:bottom w:type="dxa" w:w="80"/>
              <w:right w:type="dxa" w:w="100"/>
            </w:tcMar>
            <w:vAlign w:val="center"/>
          </w:tcPr>
          <w:p>
            <w:r>
              <w:rPr>
                <w:b w:val="false"/>
                <w:bCs w:val="false"/>
                <w:sz w:val="20"/>
                <w:szCs w:val="20"/>
              </w:rPr>
              <w:t xml:space="preserve">14.14%</w:t>
            </w:r>
          </w:p>
        </w:tc>
      </w:tr>
      <w:tr>
        <w:tc>
          <w:tcPr>
            <w:tcW w:type="dxa" w:w="2600"/>
            <w:tcMar>
              <w:top w:type="dxa" w:w="80"/>
              <w:left w:type="dxa" w:w="100"/>
              <w:bottom w:type="dxa" w:w="80"/>
              <w:right w:type="dxa" w:w="100"/>
            </w:tcMar>
            <w:vAlign w:val="center"/>
          </w:tcPr>
          <w:p>
            <w:r>
              <w:rPr>
                <w:b w:val="false"/>
                <w:bCs w:val="false"/>
                <w:sz w:val="20"/>
                <w:szCs w:val="20"/>
              </w:rPr>
              <w:t xml:space="preserve">REDLIGHT</w:t>
            </w:r>
          </w:p>
        </w:tc>
        <w:tc>
          <w:tcPr>
            <w:tcW w:type="dxa" w:w="2200"/>
            <w:tcMar>
              <w:top w:type="dxa" w:w="80"/>
              <w:left w:type="dxa" w:w="100"/>
              <w:bottom w:type="dxa" w:w="80"/>
              <w:right w:type="dxa" w:w="100"/>
            </w:tcMar>
            <w:vAlign w:val="center"/>
          </w:tcPr>
          <w:p>
            <w:r>
              <w:rPr>
                <w:b w:val="false"/>
                <w:bCs w:val="false"/>
                <w:sz w:val="20"/>
                <w:szCs w:val="20"/>
              </w:rPr>
              <w:t xml:space="preserve">8.32%</w:t>
            </w:r>
          </w:p>
        </w:tc>
        <w:tc>
          <w:tcPr>
            <w:tcW w:type="dxa" w:w="2200"/>
            <w:tcMar>
              <w:top w:type="dxa" w:w="80"/>
              <w:left w:type="dxa" w:w="100"/>
              <w:bottom w:type="dxa" w:w="80"/>
              <w:right w:type="dxa" w:w="100"/>
            </w:tcMar>
            <w:vAlign w:val="center"/>
          </w:tcPr>
          <w:p>
            <w:r>
              <w:rPr>
                <w:b w:val="false"/>
                <w:bCs w:val="false"/>
                <w:sz w:val="20"/>
                <w:szCs w:val="20"/>
              </w:rPr>
              <w:t xml:space="preserve">13.38%</w:t>
            </w:r>
          </w:p>
        </w:tc>
        <w:tc>
          <w:tcPr>
            <w:tcW w:type="dxa" w:w="2200"/>
            <w:tcMar>
              <w:top w:type="dxa" w:w="80"/>
              <w:left w:type="dxa" w:w="100"/>
              <w:bottom w:type="dxa" w:w="80"/>
              <w:right w:type="dxa" w:w="100"/>
            </w:tcMar>
            <w:vAlign w:val="center"/>
          </w:tcPr>
          <w:p>
            <w:r>
              <w:rPr>
                <w:b w:val="false"/>
                <w:bCs w:val="false"/>
                <w:sz w:val="20"/>
                <w:szCs w:val="20"/>
              </w:rPr>
              <w:t xml:space="preserve">14.15%</w:t>
            </w:r>
          </w:p>
        </w:tc>
      </w:tr>
      <w:tr>
        <w:tc>
          <w:tcPr>
            <w:tcW w:type="dxa" w:w="2600"/>
            <w:tcMar>
              <w:top w:type="dxa" w:w="80"/>
              <w:left w:type="dxa" w:w="100"/>
              <w:bottom w:type="dxa" w:w="80"/>
              <w:right w:type="dxa" w:w="100"/>
            </w:tcMar>
            <w:vAlign w:val="center"/>
          </w:tcPr>
          <w:p>
            <w:r>
              <w:rPr>
                <w:b w:val="false"/>
                <w:bCs w:val="false"/>
                <w:sz w:val="20"/>
                <w:szCs w:val="20"/>
              </w:rPr>
              <w:t xml:space="preserve">AUTOMOBILE</w:t>
            </w:r>
          </w:p>
        </w:tc>
        <w:tc>
          <w:tcPr>
            <w:tcW w:type="dxa" w:w="2200"/>
            <w:tcMar>
              <w:top w:type="dxa" w:w="80"/>
              <w:left w:type="dxa" w:w="100"/>
              <w:bottom w:type="dxa" w:w="80"/>
              <w:right w:type="dxa" w:w="100"/>
            </w:tcMar>
            <w:vAlign w:val="center"/>
          </w:tcPr>
          <w:p>
            <w:r>
              <w:rPr>
                <w:b w:val="false"/>
                <w:bCs w:val="false"/>
                <w:sz w:val="20"/>
                <w:szCs w:val="20"/>
              </w:rPr>
              <w:t xml:space="preserve">90.89%</w:t>
            </w:r>
          </w:p>
        </w:tc>
        <w:tc>
          <w:tcPr>
            <w:tcW w:type="dxa" w:w="2200"/>
            <w:tcMar>
              <w:top w:type="dxa" w:w="80"/>
              <w:left w:type="dxa" w:w="100"/>
              <w:bottom w:type="dxa" w:w="80"/>
              <w:right w:type="dxa" w:w="100"/>
            </w:tcMar>
            <w:vAlign w:val="center"/>
          </w:tcPr>
          <w:p>
            <w:r>
              <w:rPr>
                <w:b w:val="false"/>
                <w:bCs w:val="false"/>
                <w:sz w:val="20"/>
                <w:szCs w:val="20"/>
              </w:rPr>
              <w:t xml:space="preserve">13.26%</w:t>
            </w:r>
          </w:p>
        </w:tc>
        <w:tc>
          <w:tcPr>
            <w:tcW w:type="dxa" w:w="2200"/>
            <w:tcMar>
              <w:top w:type="dxa" w:w="80"/>
              <w:left w:type="dxa" w:w="100"/>
              <w:bottom w:type="dxa" w:w="80"/>
              <w:right w:type="dxa" w:w="100"/>
            </w:tcMar>
            <w:vAlign w:val="center"/>
          </w:tcPr>
          <w:p>
            <w:r>
              <w:rPr>
                <w:b w:val="false"/>
                <w:bCs w:val="false"/>
                <w:sz w:val="20"/>
                <w:szCs w:val="20"/>
              </w:rPr>
              <w:t xml:space="preserve">22.29%</w:t>
            </w:r>
          </w:p>
        </w:tc>
      </w:tr>
      <w:tr>
        <w:tc>
          <w:tcPr>
            <w:tcW w:type="dxa" w:w="2600"/>
            <w:tcMar>
              <w:top w:type="dxa" w:w="80"/>
              <w:left w:type="dxa" w:w="100"/>
              <w:bottom w:type="dxa" w:w="80"/>
              <w:right w:type="dxa" w:w="100"/>
            </w:tcMar>
            <w:vAlign w:val="center"/>
          </w:tcPr>
          <w:p>
            <w:r>
              <w:rPr>
                <w:b w:val="false"/>
                <w:bCs w:val="false"/>
                <w:sz w:val="20"/>
                <w:szCs w:val="20"/>
              </w:rPr>
              <w:t xml:space="preserve">AG_DRIV</w:t>
            </w:r>
          </w:p>
        </w:tc>
        <w:tc>
          <w:tcPr>
            <w:tcW w:type="dxa" w:w="2200"/>
            <w:tcMar>
              <w:top w:type="dxa" w:w="80"/>
              <w:left w:type="dxa" w:w="100"/>
              <w:bottom w:type="dxa" w:w="80"/>
              <w:right w:type="dxa" w:w="100"/>
            </w:tcMar>
            <w:vAlign w:val="center"/>
          </w:tcPr>
          <w:p>
            <w:r>
              <w:rPr>
                <w:b w:val="false"/>
                <w:bCs w:val="false"/>
                <w:sz w:val="20"/>
                <w:szCs w:val="20"/>
              </w:rPr>
              <w:t xml:space="preserve">51.88%</w:t>
            </w:r>
          </w:p>
        </w:tc>
        <w:tc>
          <w:tcPr>
            <w:tcW w:type="dxa" w:w="2200"/>
            <w:tcMar>
              <w:top w:type="dxa" w:w="80"/>
              <w:left w:type="dxa" w:w="100"/>
              <w:bottom w:type="dxa" w:w="80"/>
              <w:right w:type="dxa" w:w="100"/>
            </w:tcMar>
            <w:vAlign w:val="center"/>
          </w:tcPr>
          <w:p>
            <w:r>
              <w:rPr>
                <w:b w:val="false"/>
                <w:bCs w:val="false"/>
                <w:sz w:val="20"/>
                <w:szCs w:val="20"/>
              </w:rPr>
              <w:t xml:space="preserve">12.98%</w:t>
            </w:r>
          </w:p>
        </w:tc>
        <w:tc>
          <w:tcPr>
            <w:tcW w:type="dxa" w:w="2200"/>
            <w:tcMar>
              <w:top w:type="dxa" w:w="80"/>
              <w:left w:type="dxa" w:w="100"/>
              <w:bottom w:type="dxa" w:w="80"/>
              <w:right w:type="dxa" w:w="100"/>
            </w:tcMar>
            <w:vAlign w:val="center"/>
          </w:tcPr>
          <w:p>
            <w:r>
              <w:rPr>
                <w:b w:val="false"/>
                <w:bCs w:val="false"/>
                <w:sz w:val="20"/>
                <w:szCs w:val="20"/>
              </w:rPr>
              <w:t xml:space="preserve">15.27%</w:t>
            </w:r>
          </w:p>
        </w:tc>
      </w:tr>
      <w:tr>
        <w:tc>
          <w:tcPr>
            <w:tcW w:type="dxa" w:w="2600"/>
            <w:tcMar>
              <w:top w:type="dxa" w:w="80"/>
              <w:left w:type="dxa" w:w="100"/>
              <w:bottom w:type="dxa" w:w="80"/>
              <w:right w:type="dxa" w:w="100"/>
            </w:tcMar>
            <w:vAlign w:val="center"/>
          </w:tcPr>
          <w:p>
            <w:r>
              <w:rPr>
                <w:b w:val="false"/>
                <w:bCs w:val="false"/>
                <w:sz w:val="20"/>
                <w:szCs w:val="20"/>
              </w:rPr>
              <w:t xml:space="preserve">DISABILITY</w:t>
            </w:r>
          </w:p>
        </w:tc>
        <w:tc>
          <w:tcPr>
            <w:tcW w:type="dxa" w:w="2200"/>
            <w:tcMar>
              <w:top w:type="dxa" w:w="80"/>
              <w:left w:type="dxa" w:w="100"/>
              <w:bottom w:type="dxa" w:w="80"/>
              <w:right w:type="dxa" w:w="100"/>
            </w:tcMar>
            <w:vAlign w:val="center"/>
          </w:tcPr>
          <w:p>
            <w:r>
              <w:rPr>
                <w:b w:val="false"/>
                <w:bCs w:val="false"/>
                <w:sz w:val="20"/>
                <w:szCs w:val="20"/>
              </w:rPr>
              <w:t xml:space="preserve">2.60%</w:t>
            </w:r>
          </w:p>
        </w:tc>
        <w:tc>
          <w:tcPr>
            <w:tcW w:type="dxa" w:w="2200"/>
            <w:tcMar>
              <w:top w:type="dxa" w:w="80"/>
              <w:left w:type="dxa" w:w="100"/>
              <w:bottom w:type="dxa" w:w="80"/>
              <w:right w:type="dxa" w:w="100"/>
            </w:tcMar>
            <w:vAlign w:val="center"/>
          </w:tcPr>
          <w:p>
            <w:r>
              <w:rPr>
                <w:b w:val="false"/>
                <w:bCs w:val="false"/>
                <w:sz w:val="20"/>
                <w:szCs w:val="20"/>
              </w:rPr>
              <w:t xml:space="preserve">12.60%</w:t>
            </w:r>
          </w:p>
        </w:tc>
        <w:tc>
          <w:tcPr>
            <w:tcW w:type="dxa" w:w="2200"/>
            <w:tcMar>
              <w:top w:type="dxa" w:w="80"/>
              <w:left w:type="dxa" w:w="100"/>
              <w:bottom w:type="dxa" w:w="80"/>
              <w:right w:type="dxa" w:w="100"/>
            </w:tcMar>
            <w:vAlign w:val="center"/>
          </w:tcPr>
          <w:p>
            <w:r>
              <w:rPr>
                <w:b w:val="false"/>
                <w:bCs w:val="false"/>
                <w:sz w:val="20"/>
                <w:szCs w:val="20"/>
              </w:rPr>
              <w:t xml:space="preserve">14.12%</w:t>
            </w:r>
          </w:p>
        </w:tc>
      </w:tr>
      <w:tr>
        <w:tc>
          <w:tcPr>
            <w:tcW w:type="dxa" w:w="2600"/>
            <w:tcMar>
              <w:top w:type="dxa" w:w="80"/>
              <w:left w:type="dxa" w:w="100"/>
              <w:bottom w:type="dxa" w:w="80"/>
              <w:right w:type="dxa" w:w="100"/>
            </w:tcMar>
            <w:vAlign w:val="center"/>
          </w:tcPr>
          <w:p>
            <w:r>
              <w:rPr>
                <w:b w:val="false"/>
                <w:bCs w:val="false"/>
                <w:sz w:val="20"/>
                <w:szCs w:val="20"/>
              </w:rPr>
              <w:t xml:space="preserve">CYCLIST</w:t>
            </w:r>
          </w:p>
        </w:tc>
        <w:tc>
          <w:tcPr>
            <w:tcW w:type="dxa" w:w="2200"/>
            <w:tcMar>
              <w:top w:type="dxa" w:w="80"/>
              <w:left w:type="dxa" w:w="100"/>
              <w:bottom w:type="dxa" w:w="80"/>
              <w:right w:type="dxa" w:w="100"/>
            </w:tcMar>
            <w:vAlign w:val="center"/>
          </w:tcPr>
          <w:p>
            <w:r>
              <w:rPr>
                <w:b w:val="false"/>
                <w:bCs w:val="false"/>
                <w:sz w:val="20"/>
                <w:szCs w:val="20"/>
              </w:rPr>
              <w:t xml:space="preserve">10.48%</w:t>
            </w:r>
          </w:p>
        </w:tc>
        <w:tc>
          <w:tcPr>
            <w:tcW w:type="dxa" w:w="2200"/>
            <w:tcMar>
              <w:top w:type="dxa" w:w="80"/>
              <w:left w:type="dxa" w:w="100"/>
              <w:bottom w:type="dxa" w:w="80"/>
              <w:right w:type="dxa" w:w="100"/>
            </w:tcMar>
            <w:vAlign w:val="center"/>
          </w:tcPr>
          <w:p>
            <w:r>
              <w:rPr>
                <w:b w:val="false"/>
                <w:bCs w:val="false"/>
                <w:sz w:val="20"/>
                <w:szCs w:val="20"/>
              </w:rPr>
              <w:t xml:space="preserve">6.45%</w:t>
            </w:r>
          </w:p>
        </w:tc>
        <w:tc>
          <w:tcPr>
            <w:tcW w:type="dxa" w:w="2200"/>
            <w:tcMar>
              <w:top w:type="dxa" w:w="80"/>
              <w:left w:type="dxa" w:w="100"/>
              <w:bottom w:type="dxa" w:w="80"/>
              <w:right w:type="dxa" w:w="100"/>
            </w:tcMar>
            <w:vAlign w:val="center"/>
          </w:tcPr>
          <w:p>
            <w:r>
              <w:rPr>
                <w:b w:val="false"/>
                <w:bCs w:val="false"/>
                <w:sz w:val="20"/>
                <w:szCs w:val="20"/>
              </w:rPr>
              <w:t xml:space="preserve">14.98%</w:t>
            </w:r>
          </w:p>
        </w:tc>
      </w:tr>
      <w:tr>
        <w:tc>
          <w:tcPr>
            <w:tcW w:type="dxa" w:w="2600"/>
            <w:tcMar>
              <w:top w:type="dxa" w:w="80"/>
              <w:left w:type="dxa" w:w="100"/>
              <w:bottom w:type="dxa" w:w="80"/>
              <w:right w:type="dxa" w:w="100"/>
            </w:tcMar>
            <w:vAlign w:val="center"/>
          </w:tcPr>
          <w:p>
            <w:r>
              <w:rPr>
                <w:b w:val="false"/>
                <w:bCs w:val="false"/>
                <w:sz w:val="20"/>
                <w:szCs w:val="20"/>
              </w:rPr>
              <w:t xml:space="preserve">EMERG_VEH</w:t>
            </w:r>
          </w:p>
        </w:tc>
        <w:tc>
          <w:tcPr>
            <w:tcW w:type="dxa" w:w="2200"/>
            <w:tcMar>
              <w:top w:type="dxa" w:w="80"/>
              <w:left w:type="dxa" w:w="100"/>
              <w:bottom w:type="dxa" w:w="80"/>
              <w:right w:type="dxa" w:w="100"/>
            </w:tcMar>
            <w:vAlign w:val="center"/>
          </w:tcPr>
          <w:p>
            <w:r>
              <w:rPr>
                <w:b w:val="false"/>
                <w:bCs w:val="false"/>
                <w:sz w:val="20"/>
                <w:szCs w:val="20"/>
              </w:rPr>
              <w:t xml:space="preserve">0.26%</w:t>
            </w:r>
          </w:p>
        </w:tc>
        <w:tc>
          <w:tcPr>
            <w:tcW w:type="dxa" w:w="2200"/>
            <w:tcMar>
              <w:top w:type="dxa" w:w="80"/>
              <w:left w:type="dxa" w:w="100"/>
              <w:bottom w:type="dxa" w:w="80"/>
              <w:right w:type="dxa" w:w="100"/>
            </w:tcMar>
            <w:vAlign w:val="center"/>
          </w:tcPr>
          <w:p>
            <w:r>
              <w:rPr>
                <w:b w:val="false"/>
                <w:bCs w:val="false"/>
                <w:sz w:val="20"/>
                <w:szCs w:val="20"/>
              </w:rPr>
              <w:t xml:space="preserve">4.08%</w:t>
            </w:r>
          </w:p>
        </w:tc>
        <w:tc>
          <w:tcPr>
            <w:tcW w:type="dxa" w:w="2200"/>
            <w:tcMar>
              <w:top w:type="dxa" w:w="80"/>
              <w:left w:type="dxa" w:w="100"/>
              <w:bottom w:type="dxa" w:w="80"/>
              <w:right w:type="dxa" w:w="100"/>
            </w:tcMar>
            <w:vAlign w:val="center"/>
          </w:tcPr>
          <w:p>
            <w:r>
              <w:rPr>
                <w:b w:val="false"/>
                <w:bCs w:val="false"/>
                <w:sz w:val="20"/>
                <w:szCs w:val="20"/>
              </w:rPr>
              <w:t xml:space="preserve">14.11%</w:t>
            </w:r>
          </w:p>
        </w:tc>
      </w:tr>
    </w:tbl>
    <w:p>
      <w:pPr>
        <w:spacing w:after="200"/>
      </w:pPr>
    </w:p>
    <w:p>
      <w:pPr>
        <w:jc w:val="center"/>
      </w:pPr>
      <w:r>
        <w:drawing>
          <wp:inline distT="0" distB="0" distL="0" distR="0">
            <wp:extent cx="523875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38750" cy="3276600"/>
                    </a:xfrm>
                    <a:prstGeom prst="rect">
                      <a:avLst/>
                    </a:prstGeom>
                  </pic:spPr>
                </pic:pic>
              </a:graphicData>
            </a:graphic>
          </wp:inline>
        </w:drawing>
      </w:r>
    </w:p>
    <w:p>
      <w:pPr>
        <w:spacing w:after="200"/>
      </w:pPr>
    </w:p>
    <w:p>
      <w:pPr>
        <w:spacing w:after="150"/>
      </w:pPr>
      <w:r>
        <w:t xml:space="preserve">Findings: Collisions involving a truck, speeding, a transit/city vehicle, or alcohol show a noticeably higher fatal rate than the 14.09% baseline (truck collisions are more than double). Pedestrian involvement also raises the fatal rate. Cyclist and emergency-vehicle involvement show a lower fatal rate than baseline in this single-variable view — likely reflecting lower speeds or more cautious circumstances rather than cycling being inherently safer; this needs further investigation once other variables are controlled for. AUTOMOBILE is Yes for 91% of records, so its “fatal rate if No” (22.29%) is based on a small, atypical subset and should be read cautiously. These are single-variable comparisons — real feature-importance analysis happens during model building (Part 2).</w:t>
      </w:r>
    </w:p>
    <w:p>
      <w:pPr>
        <w:pStyle w:val="Heading1"/>
        <w:spacing w:after="200" w:before="400"/>
      </w:pPr>
      <w:r>
        <w:t xml:space="preserve">Feature Selection</w:t>
      </w:r>
    </w:p>
    <w:p>
      <w:pPr>
        <w:spacing w:after="150"/>
      </w:pPr>
      <w:r>
        <w:t xml:space="preserve">Dropped as identifiers or redundant, no predictive value: INDEX, ACCNUM, OBJECTID (record/event identifiers), OFFSET (location-precision detail with no standalone meaning), HOOD_140 and NEIGHBOURHOOD_140 (older duplicates of HOOD_158 / NEIGHBOURHOOD_158), and x / y (projected duplicates of LATITUDE / LONGITUDE).</w:t>
      </w:r>
    </w:p>
    <w:p>
      <w:pPr>
        <w:spacing w:after="150"/>
      </w:pPr>
      <w:r>
        <w:t xml:space="preserve">Dropped as data leakage: FATAL_NO is only populated when the specific person died, so its presence directly reveals the target and cannot be used as a feature.</w:t>
      </w:r>
    </w:p>
    <w:p>
      <w:pPr>
        <w:spacing w:after="150"/>
      </w:pPr>
      <w:r>
        <w:t xml:space="preserve">Dropped as too high-cardinality to encode sensibly: STREET1 (1,942 unique values) and STREET2 (2,821 unique values) — DISTRICT and NEIGHBOURHOOD_158 already capture location at a usable granularity. DATE and TIME were replaced by an engineered HOUR feature (0-23, derived from TIME) rather than used raw, since TIME alone (1,341 unique values) is too granular and DATE (4,128 unique values) even more so.</w:t>
      </w:r>
    </w:p>
    <w:p>
      <w:pPr>
        <w:spacing w:after="150"/>
      </w:pPr>
      <w:r>
        <w:t xml:space="preserve">Dropped as structurally missing and redundant: PEDTYPE, PEDACT, PEDCOND (~83% missing) and CYCLISTYPE, CYCACT, CYCCOND (~96% missing) only apply to pedestrian or cyclist records respectively — not missing at random, simply not applicable to other rows. Group 3's PEDESTRIAN / CYCLIST flags already capture whether those involvement types were present in a given record, so these columns were excluded rather than risk imputing meaningless values onto rows they don't apply to.</w:t>
      </w:r>
    </w:p>
    <w:p>
      <w:pPr>
        <w:spacing w:after="150"/>
      </w:pPr>
      <w:r>
        <w:t xml:space="preserve">Kept: all remaining columns listed under Data Exploration above. Group 3's 13 flag columns are low-cardinality (Yes/blank) and clean — one-hot encoded as-is. Group 1 and Group 2's remaining columns are moderate cardinality with real signal relative to the target, per the fatal-rate breakdowns above.</w:t>
      </w:r>
    </w:p>
    <w:p>
      <w:pPr>
        <w:pStyle w:val="Heading1"/>
        <w:spacing w:after="200" w:before="400"/>
      </w:pPr>
      <w:r>
        <w:t xml:space="preserve">Data Modelling</w:t>
      </w:r>
    </w:p>
    <w:p>
      <w:pPr>
        <w:spacing w:after="150"/>
      </w:pPr>
      <w:r>
        <w:t xml:space="preserve">Cleaning strategy: rows with a blank ACCLASS (no usable label) were dropped. Identifier, leakage, high-cardinality, and structurally-missing redundant columns (see Feature Selection) were dropped before encoding.</w:t>
      </w:r>
    </w:p>
    <w:p>
      <w:pPr>
        <w:spacing w:after="150"/>
      </w:pPr>
      <w:r>
        <w:t xml:space="preserve">Data wrangling / pipeline: built with scikit-learn's Pipeline and ColumnTransformer. Categorical columns are imputed with the most frequent value and one-hot encoded; numeric columns (LATITUDE, LONGITUDE, and the engineered HOUR feature) are median-imputed and standard-scaled. Train/test split: 80/20, stratified on the target to preserve the fatal/non-fatal ratio in both sets. Verified working end-to-end: 15,164 training rows / 3,792 test rows, 373 features after encoding, train-set class balance matching the overall 14.09% fatal rate.</w:t>
      </w:r>
    </w:p>
    <w:p>
      <w:pPr>
        <w:spacing w:after="150"/>
      </w:pPr>
      <w:r>
        <w:t xml:space="preserve">Class imbalance: the fatal class is roughly 14% of records — a real but moderate imbalance. Planned handling for Part 2: try class_weight=’balanced’ on the classifier first (simplest option); fall back to SMOTE (imbalanced-learn) if recall on the fatal class isn’t high enough.</w:t>
      </w:r>
    </w:p>
    <w:p>
      <w:pPr>
        <w:spacing w:after="150"/>
      </w:pPr>
      <w:r>
        <w:t xml:space="preserve">Assumptions and constraints: (1) Property Damage Only and Non-Fatal Injury rows are both treated as the negative (non-fatal) class, since the project's objective is specifically predicting fatal outcomes. (2) Location fields are deliberately offset to the nearest intersection for privacy, so exact-address-level analysis isn't possible. (3) The dataset is per-person, not per-collision — the group discussed aggregating to one row per collision (since the assignment asks whether "the incident" would be fatal, not whether a person is), but this was not implemented for Part 1 given the time available; it remains a candidate improvement for Part 2. (4) The assignment document references 2006–2020 coverage; the portal now serves 2006–2023 (dataset updated since the assignment was written). (5) Group 1's section was completed by Aidan after Aboud did not submit analysis by the internal deadline; Group 2's section was submitted directly by Ibrahim. See the Team &amp; Roles note in the project README for the full timeline.</w:t>
      </w:r>
    </w:p>
    <w:p>
      <w:pPr>
        <w:pStyle w:val="Heading1"/>
        <w:spacing w:after="200" w:before="400"/>
      </w:pPr>
      <w:r>
        <w:t xml:space="preserve">Next Steps (Part 2)</w:t>
      </w:r>
    </w:p>
    <w:p>
      <w:pPr>
        <w:pStyle w:val="ListParagraph"/>
        <w:numPr>
          <w:ilvl w:val="0"/>
          <w:numId w:val="1"/>
        </w:numPr>
        <w:spacing w:after="80"/>
      </w:pPr>
      <w:r>
        <w:t xml:space="preserve">Revisit per-collision aggregation (vs. current per-person rows) as a potential modelling improvement</w:t>
      </w:r>
    </w:p>
    <w:p>
      <w:pPr>
        <w:pStyle w:val="ListParagraph"/>
        <w:numPr>
          <w:ilvl w:val="0"/>
          <w:numId w:val="1"/>
        </w:numPr>
        <w:spacing w:after="80"/>
      </w:pPr>
      <w:r>
        <w:t xml:space="preserve">Build and tune logistic regression, decision tree, SVM, random forest, and neural network models</w:t>
      </w:r>
    </w:p>
    <w:p>
      <w:pPr>
        <w:pStyle w:val="ListParagraph"/>
        <w:numPr>
          <w:ilvl w:val="0"/>
          <w:numId w:val="1"/>
        </w:numPr>
        <w:spacing w:after="80"/>
      </w:pPr>
      <w:r>
        <w:t xml:space="preserve">Score and compare models (accuracy, precision, recall, F1, ROC curves); select best model</w:t>
      </w:r>
    </w:p>
    <w:p>
      <w:pPr>
        <w:pStyle w:val="ListParagraph"/>
        <w:numPr>
          <w:ilvl w:val="0"/>
          <w:numId w:val="1"/>
        </w:numPr>
        <w:spacing w:after="80"/>
      </w:pPr>
      <w:r>
        <w:t xml:space="preserve">Deploy the selected model as a Flask API; build a front end / test client</w:t>
      </w:r>
    </w:p>
    <w:p>
      <w:pPr>
        <w:pStyle w:val="ListParagraph"/>
        <w:numPr>
          <w:ilvl w:val="0"/>
          <w:numId w:val="1"/>
        </w:numPr>
        <w:spacing w:after="80"/>
      </w:pPr>
      <w:r>
        <w:t xml:space="preserve">Write full report (executive summary, solution overview) and prepare presentation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a6527ddbc1ad9f2cecbc0bb60f5881c3d2be9de.png"/><Relationship Id="rId8" Type="http://schemas.openxmlformats.org/officeDocument/2006/relationships/image" Target="media/3942ed40c5f6012b46aa9f30cfffbc0098de7139.png"/><Relationship Id="rId9" Type="http://schemas.openxmlformats.org/officeDocument/2006/relationships/image" Target="media/49fab8961dd9a07db8e4085322a5c94e94eff362.png"/><Relationship Id="rId10" Type="http://schemas.openxmlformats.org/officeDocument/2006/relationships/image" Target="media/44b38e4f8906892f6539bccb03d5fce794929a2d.png"/><Relationship Id="rId11" Type="http://schemas.openxmlformats.org/officeDocument/2006/relationships/image" Target="media/1a4b7153df563f3680e2bc80697c6c5b694f8ceb.png"/><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2026-07-26T02:33:41.307Z</dcterms:created>
  <dcterms:modified xsi:type="dcterms:W3CDTF">2026-07-26T02:33:41.310Z</dcterms:modified>
</cp:coreProperties>
</file>

<file path=docProps/custom.xml><?xml version="1.0" encoding="utf-8"?>
<Properties xmlns="http://schemas.openxmlformats.org/officeDocument/2006/custom-properties" xmlns:vt="http://schemas.openxmlformats.org/officeDocument/2006/docPropsVTypes"/>
</file>