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sz w:val="40"/>
          <w:szCs w:val="40"/>
        </w:rPr>
        <w:t xml:space="preserve">COMP 247 Group Project</w:t>
      </w:r>
    </w:p>
    <w:p>
      <w:pPr>
        <w:spacing w:after="100"/>
        <w:jc w:val="center"/>
      </w:pPr>
      <w:r>
        <w:rPr>
          <w:b/>
          <w:bCs/>
          <w:sz w:val="32"/>
          <w:szCs w:val="32"/>
        </w:rPr>
        <w:t xml:space="preserve">KSI Fatal Collision Predictor</w:t>
      </w:r>
    </w:p>
    <w:p>
      <w:pPr>
        <w:spacing w:after="600"/>
        <w:jc w:val="center"/>
      </w:pPr>
      <w:r>
        <w:rPr>
          <w:sz w:val="26"/>
          <w:szCs w:val="26"/>
        </w:rPr>
        <w:t xml:space="preserve">Part 1 Report — Data Exploration &amp; Data Modelling</w:t>
      </w:r>
    </w:p>
    <w:p>
      <w:pPr>
        <w:jc w:val="center"/>
      </w:pPr>
      <w:r>
        <w:rPr>
          <w:sz w:val="22"/>
          <w:szCs w:val="22"/>
        </w:rPr>
        <w:t xml:space="preserve">Group #8, Section #1</w:t>
      </w:r>
    </w:p>
    <w:p>
      <w:pPr>
        <w:jc w:val="center"/>
      </w:pPr>
      <w:r>
        <w:rPr>
          <w:sz w:val="22"/>
          <w:szCs w:val="22"/>
        </w:rPr>
        <w:t xml:space="preserve">Team: Ali, Aboud, Ibrahim, Aidan</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Executive Summary</w:t>
      </w:r>
    </w:p>
    <w:p>
      <w:pPr>
        <w:spacing w:after="150"/>
      </w:pPr>
      <w:r>
        <w:t>This project develops a machine-learning classifier that predicts whether a Toronto traffic collision record is associated with a fatal outcome. The goal is to identify combinations of collision conditions that are linked to fatality risk and produce a model that can flag higher-risk cases.</w:t>
      </w:r>
    </w:p>
    <w:p>
      <w:pPr>
        <w:spacing w:after="150"/>
      </w:pPr>
      <w:r>
        <w:rPr>
          <w:b w:val="0"/>
        </w:rPr>
        <w:t>The project uses the Toronto Police Service Killed or Seriously Injured (KSI) dataset, covering 2006–2023. The dataset contains 18,957 person-level records, with 18,956 usable labelled records after removing the single blank ACCLASS value. Fatal records make up 14.09% of the labelled data, so the prediction problem is moderately imbalanced.</w:t>
      </w:r>
    </w:p>
    <w:p>
      <w:pPr>
        <w:spacing w:after="150"/>
      </w:pPr>
      <w:r>
        <w:rPr>
          <w:b w:val="0"/>
        </w:rPr>
        <w:t>The data was cleaned and prepared through a scikit-learn preprocessing pipeline. Identifier, redundant, high-cardinality and leakage-prone fields were removed; TIME was converted into an HOUR feature; categorical features were imputed and one-hot encoded; and numerical features were median-imputed and standardized. The data was then split 80/20 using stratification, producing 15,164 training rows and 3,792 test rows with 373 encoded features.</w:t>
      </w:r>
    </w:p>
    <w:p>
      <w:pPr>
        <w:spacing w:after="150"/>
      </w:pPr>
      <w:r>
        <w:rPr>
          <w:b w:val="0"/>
        </w:rPr>
        <w:t>Five classification models are compared: Logistic Regression, Decision Tree, Random Forest, Linear SVM, and a Multi-Layer Perceptron Neural Network. Performance is evaluated using accuracy, precision, recall, F1-score and confusion matrices, but fatal-class recall is treated as the primary metric because a model can achieve high accuracy by mainly predicting the majority non-fatal class while still missing many true fatalities.</w:t>
      </w:r>
    </w:p>
    <w:p>
      <w:pPr>
        <w:spacing w:after="150"/>
      </w:pPr>
      <w:r>
        <w:rPr>
          <w:b w:val="0"/>
        </w:rPr>
        <w:t>In the current untuned baseline comparison, Linear SVM achieved the highest fatal-class recall at 0.670, followed by Logistic Regression at 0.663 and Decision Tree at 0.661. Decision Tree provided the strongest overall balance in the baseline run with an F1-score of 0.642, while Random Forest produced the highest accuracy at 0.922 but only 0.448 recall. These results reinforce why recall is more meaningful than raw accuracy for this project.</w:t>
      </w:r>
    </w:p>
    <w:p>
      <w:pPr>
        <w:spacing w:after="150"/>
      </w:pPr>
      <w:r>
        <w:rPr>
          <w:b/>
          <w:color w:val="C00000"/>
        </w:rPr>
        <w:t>[FINAL TEAM INPUT REQUIRED: After hyperparameter tuning is complete, replace this line with the winning model, its final fatal-class recall, and the final tuned settings.]</w:t>
      </w:r>
    </w:p>
    <w:p>
      <w:pPr>
        <w:spacing w:after="150"/>
      </w:pPr>
      <w:r>
        <w:rPr>
          <w:b w:val="0"/>
        </w:rPr>
        <w:t>The selected model is intended to be saved and served through a lightweight Flask API so that collision details such as location, time, road and environmental conditions, and involvement factors can be submitted for a fatality-risk prediction. Identifying higher-risk collision conditions could help inform where traffic-safety attention and resources may be most valuable.</w:t>
      </w:r>
    </w:p>
    <w:p>
      <w:pPr>
        <w:pStyle w:val="Heading1"/>
        <w:spacing w:after="200" w:before="400"/>
      </w:pPr>
      <w:r>
        <w:t xml:space="preserve">Overview of Solution</w:t>
      </w:r>
    </w:p>
    <w:p>
      <w:pPr>
        <w:spacing w:after="150"/>
      </w:pPr>
      <w:r>
        <w:t>The solution follows an end-to-end workflow: prepare the raw KSI data, transform it into model-ready features, compare several classification algorithms, tune the strongest candidates, select the final model using fatal-class recall as the priority, and expose the selected predictor through an API.</w:t>
      </w:r>
    </w:p>
    <w:p>
      <w:pPr>
        <w:spacing w:after="150"/>
      </w:pPr>
      <w:r>
        <w:rPr>
          <w:b/>
        </w:rPr>
        <w:t>Data Preparation</w:t>
      </w:r>
    </w:p>
    <w:p>
      <w:pPr>
        <w:spacing w:after="150"/>
      </w:pPr>
      <w:r>
        <w:rPr>
          <w:b w:val="0"/>
        </w:rPr>
        <w:t>ACCLASS is converted into a binary target where Fatal = 1 and all other usable labelled outcomes = 0. Rows with a blank target are removed. INDEX, ACCNUM, OBJECTID, OFFSET and redundant location identifiers are excluded because they do not provide useful predictive information. FATAL_NO is removed because it directly leaks the fatal outcome. STREET1 and STREET2 are dropped because of their very high cardinality, while DATE and TIME are replaced by the engineered HOUR feature.</w:t>
      </w:r>
    </w:p>
    <w:p>
      <w:pPr>
        <w:spacing w:after="150"/>
      </w:pPr>
      <w:r>
        <w:rPr>
          <w:b w:val="0"/>
        </w:rPr>
        <w:t>Categorical variables are processed with most-frequent imputation and one-hot encoding. Numerical variables (LATITUDE, LONGITUDE and HOUR) are median-imputed and standardized. Structurally missing pedestrian- and cyclist-specific fields are excluded rather than imputed across records where they do not apply. The final train/test split is 80/20 and stratified to preserve the 14.09% fatal-class proportion.</w:t>
      </w:r>
    </w:p>
    <w:p>
      <w:pPr>
        <w:spacing w:after="150"/>
      </w:pPr>
      <w:r>
        <w:rPr>
          <w:b/>
        </w:rPr>
        <w:t>Modelling Approach</w:t>
      </w:r>
    </w:p>
    <w:p>
      <w:pPr>
        <w:spacing w:after="150"/>
      </w:pPr>
      <w:r>
        <w:rPr>
          <w:b w:val="0"/>
        </w:rPr>
        <w:t>The project compares Logistic Regression, Decision Tree, Random Forest, Linear SVM and a Neural Network (MLP). Using models from different families provides a more reliable comparison because each can capture different types of relationships in the collision data. For models that support it, class_weight='balanced' is used to reduce the tendency to ignore the minority fatal class.</w:t>
      </w:r>
    </w:p>
    <w:p>
      <w:pPr>
        <w:spacing w:after="150"/>
      </w:pPr>
      <w:r>
        <w:rPr>
          <w:b w:val="0"/>
        </w:rPr>
        <w:t>All five baseline models are evaluated on the same held-out test set using accuracy, precision, recall, F1-score and confusion matrices. Recall is prioritized because it answers the main safety question: of all records that were actually fatal, how many did the model correctly identify? With roughly 86% of records in the non-fatal class, accuracy alone can be misleading.</w:t>
      </w:r>
    </w:p>
    <w:p>
      <w:pPr>
        <w:spacing w:after="150"/>
      </w:pPr>
      <w:r>
        <w:rPr>
          <w:b/>
        </w:rPr>
        <w:t>Current Baseline Results</w:t>
      </w:r>
    </w:p>
    <w:p>
      <w:pPr>
        <w:spacing w:after="150"/>
      </w:pPr>
      <w:r>
        <w:rPr>
          <w:b w:val="0"/>
        </w:rPr>
        <w:t>The untuned baseline results show Linear SVM with the highest recall (0.670), Logistic Regression at 0.663, Decision Tree at 0.661, Neural Network at 0.459, and Random Forest at 0.448. Decision Tree currently offers the strongest balance between recall and precision, with an F1-score of 0.642. Random Forest has very high precision (0.996) and accuracy (0.922), but its low recall means it misses more than half of the true fatal cases.</w:t>
      </w:r>
    </w:p>
    <w:p>
      <w:pPr>
        <w:spacing w:after="150"/>
      </w:pPr>
      <w:r>
        <w:rPr>
          <w:b/>
        </w:rPr>
        <w:t>Model Selection and Tuning</w:t>
      </w:r>
    </w:p>
    <w:p>
      <w:pPr>
        <w:spacing w:after="150"/>
      </w:pPr>
      <w:r>
        <w:rPr>
          <w:b w:val="0"/>
        </w:rPr>
        <w:t>Hyperparameter tuning is being divided across the team using GridSearchCV scored on recall. Aboud's tuning script covers Logistic Regression and Linear SVM, Ibrahim's covers Decision Tree and Random Forest, and the Neural Network tuning and final model selection are handled separately. The final winner will be chosen primarily by fatal-class recall, with precision, F1-score and the confusion matrix used to check the overall trade-off.</w:t>
      </w:r>
    </w:p>
    <w:p>
      <w:pPr>
        <w:spacing w:after="150"/>
      </w:pPr>
      <w:r>
        <w:rPr>
          <w:b/>
          <w:color w:val="C00000"/>
        </w:rPr>
        <w:t>[FINAL TEAM INPUT REQUIRED: Add the final winning model, tuned fatal-class recall, best hyperparameters, and one sentence explaining why it was selected over the other models.]</w:t>
      </w:r>
    </w:p>
    <w:p>
      <w:pPr>
        <w:spacing w:after="150"/>
      </w:pPr>
      <w:r>
        <w:rPr>
          <w:b/>
        </w:rPr>
        <w:t>Deployment</w:t>
      </w:r>
    </w:p>
    <w:p>
      <w:pPr>
        <w:spacing w:after="150"/>
      </w:pPr>
      <w:r>
        <w:rPr>
          <w:b w:val="0"/>
        </w:rPr>
        <w:t>After the final model is selected, the trained model and preprocessing workflow are intended to be serialized and loaded by a small Flask API. Incoming collision attributes will pass through the same preprocessing logic used during training before the model returns a fatality-risk prediction. Keeping preprocessing and prediction together ensures that live inputs are transformed consistently with the training data.</w:t>
      </w:r>
    </w:p>
    <w:p>
      <w:pPr>
        <w:spacing w:after="150"/>
      </w:pPr>
      <w:r>
        <w:rPr>
          <w:b/>
          <w:color w:val="C00000"/>
        </w:rPr>
        <w:t>[FINAL TEAM INPUT REQUIRED: Once deployment is complete, add the confirmed saved-model filename, Flask endpoint, expected request fields, and one verified example response. Keep the current future-tense wording until this is confirmed.]</w:t>
      </w:r>
    </w:p>
    <w:p>
      <w:pPr>
        <w:pStyle w:val="Heading1"/>
        <w:spacing w:after="200" w:before="400"/>
      </w:pPr>
      <w:r>
        <w:t xml:space="preserve">Data Exploration and Findings</w:t>
      </w:r>
    </w:p>
    <w:p>
      <w:pPr>
        <w:spacing w:after="150"/>
      </w:pPr>
      <w:r>
        <w:t xml:space="preserve">Dataset: Toronto Police “Killed or Seriously Injured (KSI)” collision data, 2006–2023, 18,957 records. Downloaded as CSV from the Toronto Police Public Safety Data Portal (data.tps.ca). Field definitions from the accompanying KSI Glossary PDF. Note: the dataset is per-person, not per-collision — the same ACCNUM repeats for every person involved in a crash.</w:t>
      </w:r>
    </w:p>
    <w:p>
      <w:pPr>
        <w:spacing w:after="150"/>
      </w:pPr>
      <w:r>
        <w:t xml:space="preserve">Target column: ACCLASS. Real values found in the data: Fatal, Non-Fatal Injury, Property Damage O (truncated “Property Damage Only”), and blank. Blank rows (no usable label) were dropped, leaving 18,956 labeled records. Binary target defined as 1 = Fatal, 0 = everything else. Overall fatal rate: 14.09%.</w:t>
      </w:r>
    </w:p>
    <w:p>
      <w:pPr>
        <w:pStyle w:val="Heading2"/>
        <w:spacing w:after="150" w:before="300"/>
      </w:pPr>
      <w:r>
        <w:t xml:space="preserve">Group 1 — Location &amp; Conditions</w:t>
      </w:r>
    </w:p>
    <w:p>
      <w:pPr>
        <w:spacing w:after="150"/>
      </w:pPr>
      <w:r>
        <w:t xml:space="preserve">Columns: STREET1, STREET2, ROAD_CLASS, DISTRICT, LATITUDE, LONGITUDE, ACCLOC, TRAFFCTL, VISIBILITY, LIGHT, RDSFCOND, DIVISION, NEIGHBOURHOOD_158, HOOD_158, DATE, TIME. Originally assigned to Aboud; completed by Aidan after no analysis was submitted by the group's internal deadline.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500"/>
      </w:tblGrid>
      <w:tr>
        <w:tc>
          <w:tcPr>
            <w:tcW w:type="dxa" w:w="4200"/>
            <w:shd w:fill="D9D9D9" w:val="clear"/>
            <w:tcMar>
              <w:top w:type="dxa" w:w="80"/>
              <w:left w:type="dxa" w:w="100"/>
              <w:bottom w:type="dxa" w:w="80"/>
              <w:right w:type="dxa" w:w="100"/>
            </w:tcMar>
            <w:vAlign w:val="center"/>
          </w:tcPr>
          <w:p>
            <w:r>
              <w:rPr>
                <w:b/>
                <w:bCs/>
                <w:sz w:val="20"/>
                <w:szCs w:val="20"/>
              </w:rPr>
              <w:t xml:space="preserve">Column</w:t>
            </w:r>
          </w:p>
        </w:tc>
        <w:tc>
          <w:tcPr>
            <w:tcW w:type="dxa" w:w="2500"/>
            <w:shd w:fill="D9D9D9" w:val="clear"/>
            <w:tcMar>
              <w:top w:type="dxa" w:w="80"/>
              <w:left w:type="dxa" w:w="100"/>
              <w:bottom w:type="dxa" w:w="80"/>
              <w:right w:type="dxa" w:w="100"/>
            </w:tcMar>
            <w:vAlign w:val="center"/>
          </w:tcPr>
          <w:p>
            <w:r>
              <w:rPr>
                <w:b/>
                <w:bCs/>
                <w:sz w:val="20"/>
                <w:szCs w:val="20"/>
              </w:rPr>
              <w:t xml:space="preserve">% Missing</w:t>
            </w:r>
          </w:p>
        </w:tc>
        <w:tc>
          <w:tcPr>
            <w:tcW w:type="dxa" w:w="2500"/>
            <w:shd w:fill="D9D9D9" w:val="clear"/>
            <w:tcMar>
              <w:top w:type="dxa" w:w="80"/>
              <w:left w:type="dxa" w:w="100"/>
              <w:bottom w:type="dxa" w:w="80"/>
              <w:right w:type="dxa" w:w="100"/>
            </w:tcMar>
            <w:vAlign w:val="center"/>
          </w:tcPr>
          <w:p>
            <w:r>
              <w:rPr>
                <w:b/>
                <w:bCs/>
                <w:sz w:val="20"/>
                <w:szCs w:val="20"/>
              </w:rPr>
              <w:t xml:space="preserve">Unique Values</w:t>
            </w:r>
          </w:p>
        </w:tc>
      </w:tr>
      <w:tr>
        <w:tc>
          <w:tcPr>
            <w:tcW w:type="dxa" w:w="4200"/>
            <w:tcMar>
              <w:top w:type="dxa" w:w="80"/>
              <w:left w:type="dxa" w:w="100"/>
              <w:bottom w:type="dxa" w:w="80"/>
              <w:right w:type="dxa" w:w="100"/>
            </w:tcMar>
            <w:vAlign w:val="center"/>
          </w:tcPr>
          <w:p>
            <w:r>
              <w:rPr>
                <w:b w:val="false"/>
                <w:bCs w:val="false"/>
                <w:sz w:val="20"/>
                <w:szCs w:val="20"/>
              </w:rPr>
              <w:t xml:space="preserve">ACCLOC</w:t>
            </w:r>
          </w:p>
        </w:tc>
        <w:tc>
          <w:tcPr>
            <w:tcW w:type="dxa" w:w="2500"/>
            <w:tcMar>
              <w:top w:type="dxa" w:w="80"/>
              <w:left w:type="dxa" w:w="100"/>
              <w:bottom w:type="dxa" w:w="80"/>
              <w:right w:type="dxa" w:w="100"/>
            </w:tcMar>
            <w:vAlign w:val="center"/>
          </w:tcPr>
          <w:p>
            <w:r>
              <w:rPr>
                <w:b w:val="false"/>
                <w:bCs w:val="false"/>
                <w:sz w:val="20"/>
                <w:szCs w:val="20"/>
              </w:rPr>
              <w:t xml:space="preserve">28.8%</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STREET2</w:t>
            </w:r>
          </w:p>
        </w:tc>
        <w:tc>
          <w:tcPr>
            <w:tcW w:type="dxa" w:w="2500"/>
            <w:tcMar>
              <w:top w:type="dxa" w:w="80"/>
              <w:left w:type="dxa" w:w="100"/>
              <w:bottom w:type="dxa" w:w="80"/>
              <w:right w:type="dxa" w:w="100"/>
            </w:tcMar>
            <w:vAlign w:val="center"/>
          </w:tcPr>
          <w:p>
            <w:r>
              <w:rPr>
                <w:b w:val="false"/>
                <w:bCs w:val="false"/>
                <w:sz w:val="20"/>
                <w:szCs w:val="20"/>
              </w:rPr>
              <w:t xml:space="preserve">9.0%</w:t>
            </w:r>
          </w:p>
        </w:tc>
        <w:tc>
          <w:tcPr>
            <w:tcW w:type="dxa" w:w="2500"/>
            <w:tcMar>
              <w:top w:type="dxa" w:w="80"/>
              <w:left w:type="dxa" w:w="100"/>
              <w:bottom w:type="dxa" w:w="80"/>
              <w:right w:type="dxa" w:w="100"/>
            </w:tcMar>
            <w:vAlign w:val="center"/>
          </w:tcPr>
          <w:p>
            <w:r>
              <w:rPr>
                <w:b w:val="false"/>
                <w:bCs w:val="false"/>
                <w:sz w:val="20"/>
                <w:szCs w:val="20"/>
              </w:rPr>
              <w:t xml:space="preserve">2,821</w:t>
            </w:r>
          </w:p>
        </w:tc>
      </w:tr>
      <w:tr>
        <w:tc>
          <w:tcPr>
            <w:tcW w:type="dxa" w:w="4200"/>
            <w:tcMar>
              <w:top w:type="dxa" w:w="80"/>
              <w:left w:type="dxa" w:w="100"/>
              <w:bottom w:type="dxa" w:w="80"/>
              <w:right w:type="dxa" w:w="100"/>
            </w:tcMar>
            <w:vAlign w:val="center"/>
          </w:tcPr>
          <w:p>
            <w:r>
              <w:rPr>
                <w:b w:val="false"/>
                <w:bCs w:val="false"/>
                <w:sz w:val="20"/>
                <w:szCs w:val="20"/>
              </w:rPr>
              <w:t xml:space="preserve">ROAD_CLASS</w:t>
            </w:r>
          </w:p>
        </w:tc>
        <w:tc>
          <w:tcPr>
            <w:tcW w:type="dxa" w:w="2500"/>
            <w:tcMar>
              <w:top w:type="dxa" w:w="80"/>
              <w:left w:type="dxa" w:w="100"/>
              <w:bottom w:type="dxa" w:w="80"/>
              <w:right w:type="dxa" w:w="100"/>
            </w:tcMar>
            <w:vAlign w:val="center"/>
          </w:tcPr>
          <w:p>
            <w:r>
              <w:rPr>
                <w:b w:val="false"/>
                <w:bCs w:val="false"/>
                <w:sz w:val="20"/>
                <w:szCs w:val="20"/>
              </w:rPr>
              <w:t xml:space="preserve">2.6%</w:t>
            </w:r>
          </w:p>
        </w:tc>
        <w:tc>
          <w:tcPr>
            <w:tcW w:type="dxa" w:w="2500"/>
            <w:tcMar>
              <w:top w:type="dxa" w:w="80"/>
              <w:left w:type="dxa" w:w="100"/>
              <w:bottom w:type="dxa" w:w="80"/>
              <w:right w:type="dxa" w:w="100"/>
            </w:tcMar>
            <w:vAlign w:val="center"/>
          </w:tcPr>
          <w:p>
            <w:r>
              <w:rPr>
                <w:b w:val="false"/>
                <w:bCs w:val="false"/>
                <w:sz w:val="20"/>
                <w:szCs w:val="20"/>
              </w:rPr>
              <w:t xml:space="preserve">11</w:t>
            </w:r>
          </w:p>
        </w:tc>
      </w:tr>
      <w:tr>
        <w:tc>
          <w:tcPr>
            <w:tcW w:type="dxa" w:w="4200"/>
            <w:tcMar>
              <w:top w:type="dxa" w:w="80"/>
              <w:left w:type="dxa" w:w="100"/>
              <w:bottom w:type="dxa" w:w="80"/>
              <w:right w:type="dxa" w:w="100"/>
            </w:tcMar>
            <w:vAlign w:val="center"/>
          </w:tcPr>
          <w:p>
            <w:r>
              <w:rPr>
                <w:b w:val="false"/>
                <w:bCs w:val="false"/>
                <w:sz w:val="20"/>
                <w:szCs w:val="20"/>
              </w:rPr>
              <w:t xml:space="preserve">DISTRICT</w:t>
            </w:r>
          </w:p>
        </w:tc>
        <w:tc>
          <w:tcPr>
            <w:tcW w:type="dxa" w:w="2500"/>
            <w:tcMar>
              <w:top w:type="dxa" w:w="80"/>
              <w:left w:type="dxa" w:w="100"/>
              <w:bottom w:type="dxa" w:w="80"/>
              <w:right w:type="dxa" w:w="100"/>
            </w:tcMar>
            <w:vAlign w:val="center"/>
          </w:tcPr>
          <w:p>
            <w:r>
              <w:rPr>
                <w:b w:val="false"/>
                <w:bCs w:val="false"/>
                <w:sz w:val="20"/>
                <w:szCs w:val="20"/>
              </w:rPr>
              <w:t xml:space="preserve">1.2%</w:t>
            </w:r>
          </w:p>
        </w:tc>
        <w:tc>
          <w:tcPr>
            <w:tcW w:type="dxa" w:w="2500"/>
            <w:tcMar>
              <w:top w:type="dxa" w:w="80"/>
              <w:left w:type="dxa" w:w="100"/>
              <w:bottom w:type="dxa" w:w="80"/>
              <w:right w:type="dxa" w:w="100"/>
            </w:tcMar>
            <w:vAlign w:val="center"/>
          </w:tcPr>
          <w:p>
            <w:r>
              <w:rPr>
                <w:b w:val="false"/>
                <w:bCs w:val="false"/>
                <w:sz w:val="20"/>
                <w:szCs w:val="20"/>
              </w:rPr>
              <w:t xml:space="preserve">4</w:t>
            </w:r>
          </w:p>
        </w:tc>
      </w:tr>
      <w:tr>
        <w:tc>
          <w:tcPr>
            <w:tcW w:type="dxa" w:w="4200"/>
            <w:tcMar>
              <w:top w:type="dxa" w:w="80"/>
              <w:left w:type="dxa" w:w="100"/>
              <w:bottom w:type="dxa" w:w="80"/>
              <w:right w:type="dxa" w:w="100"/>
            </w:tcMar>
            <w:vAlign w:val="center"/>
          </w:tcPr>
          <w:p>
            <w:r>
              <w:rPr>
                <w:b w:val="false"/>
                <w:bCs w:val="false"/>
                <w:sz w:val="20"/>
                <w:szCs w:val="20"/>
              </w:rPr>
              <w:t xml:space="preserve">TRAFFCTL</w:t>
            </w:r>
          </w:p>
        </w:tc>
        <w:tc>
          <w:tcPr>
            <w:tcW w:type="dxa" w:w="2500"/>
            <w:tcMar>
              <w:top w:type="dxa" w:w="80"/>
              <w:left w:type="dxa" w:w="100"/>
              <w:bottom w:type="dxa" w:w="80"/>
              <w:right w:type="dxa" w:w="100"/>
            </w:tcMar>
            <w:vAlign w:val="center"/>
          </w:tcPr>
          <w:p>
            <w:r>
              <w:rPr>
                <w:b w:val="false"/>
                <w:bCs w:val="false"/>
                <w:sz w:val="20"/>
                <w:szCs w:val="20"/>
              </w:rPr>
              <w:t xml:space="preserve">0.4%</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RDSFCOND</w:t>
            </w:r>
          </w:p>
        </w:tc>
        <w:tc>
          <w:tcPr>
            <w:tcW w:type="dxa" w:w="2500"/>
            <w:tcMar>
              <w:top w:type="dxa" w:w="80"/>
              <w:left w:type="dxa" w:w="100"/>
              <w:bottom w:type="dxa" w:w="80"/>
              <w:right w:type="dxa" w:w="100"/>
            </w:tcMar>
            <w:vAlign w:val="center"/>
          </w:tcPr>
          <w:p>
            <w:r>
              <w:rPr>
                <w:b w:val="false"/>
                <w:bCs w:val="false"/>
                <w:sz w:val="20"/>
                <w:szCs w:val="20"/>
              </w:rPr>
              <w:t xml:space="preserve">0.2%</w:t>
            </w:r>
          </w:p>
        </w:tc>
        <w:tc>
          <w:tcPr>
            <w:tcW w:type="dxa" w:w="2500"/>
            <w:tcMar>
              <w:top w:type="dxa" w:w="80"/>
              <w:left w:type="dxa" w:w="100"/>
              <w:bottom w:type="dxa" w:w="80"/>
              <w:right w:type="dxa" w:w="100"/>
            </w:tcMar>
            <w:vAlign w:val="center"/>
          </w:tcPr>
          <w:p>
            <w:r>
              <w:rPr>
                <w:b w:val="false"/>
                <w:bCs w:val="false"/>
                <w:sz w:val="20"/>
                <w:szCs w:val="20"/>
              </w:rPr>
              <w:t xml:space="preserve">9</w:t>
            </w:r>
          </w:p>
        </w:tc>
      </w:tr>
      <w:tr>
        <w:tc>
          <w:tcPr>
            <w:tcW w:type="dxa" w:w="4200"/>
            <w:tcMar>
              <w:top w:type="dxa" w:w="80"/>
              <w:left w:type="dxa" w:w="100"/>
              <w:bottom w:type="dxa" w:w="80"/>
              <w:right w:type="dxa" w:w="100"/>
            </w:tcMar>
            <w:vAlign w:val="center"/>
          </w:tcPr>
          <w:p>
            <w:r>
              <w:rPr>
                <w:b w:val="false"/>
                <w:bCs w:val="false"/>
                <w:sz w:val="20"/>
                <w:szCs w:val="20"/>
              </w:rPr>
              <w:t xml:space="preserve">VISIBILITY</w:t>
            </w:r>
          </w:p>
        </w:tc>
        <w:tc>
          <w:tcPr>
            <w:tcW w:type="dxa" w:w="2500"/>
            <w:tcMar>
              <w:top w:type="dxa" w:w="80"/>
              <w:left w:type="dxa" w:w="100"/>
              <w:bottom w:type="dxa" w:w="80"/>
              <w:right w:type="dxa" w:w="100"/>
            </w:tcMar>
            <w:vAlign w:val="center"/>
          </w:tcPr>
          <w:p>
            <w:r>
              <w:rPr>
                <w:b w:val="false"/>
                <w:bCs w:val="false"/>
                <w:sz w:val="20"/>
                <w:szCs w:val="20"/>
              </w:rPr>
              <w:t xml:space="preserve">0.1%</w:t>
            </w:r>
          </w:p>
        </w:tc>
        <w:tc>
          <w:tcPr>
            <w:tcW w:type="dxa" w:w="2500"/>
            <w:tcMar>
              <w:top w:type="dxa" w:w="80"/>
              <w:left w:type="dxa" w:w="100"/>
              <w:bottom w:type="dxa" w:w="80"/>
              <w:right w:type="dxa" w:w="100"/>
            </w:tcMar>
            <w:vAlign w:val="center"/>
          </w:tcPr>
          <w:p>
            <w:r>
              <w:rPr>
                <w:b w:val="false"/>
                <w:bCs w:val="false"/>
                <w:sz w:val="20"/>
                <w:szCs w:val="20"/>
              </w:rPr>
              <w:t xml:space="preserve">8</w:t>
            </w:r>
          </w:p>
        </w:tc>
      </w:tr>
      <w:tr>
        <w:tc>
          <w:tcPr>
            <w:tcW w:type="dxa" w:w="4200"/>
            <w:tcMar>
              <w:top w:type="dxa" w:w="80"/>
              <w:left w:type="dxa" w:w="100"/>
              <w:bottom w:type="dxa" w:w="80"/>
              <w:right w:type="dxa" w:w="100"/>
            </w:tcMar>
            <w:vAlign w:val="center"/>
          </w:tcPr>
          <w:p>
            <w:r>
              <w:rPr>
                <w:b w:val="false"/>
                <w:bCs w:val="false"/>
                <w:sz w:val="20"/>
                <w:szCs w:val="20"/>
              </w:rPr>
              <w:t xml:space="preserve">STREET1</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1,942</w:t>
            </w:r>
          </w:p>
        </w:tc>
      </w:tr>
      <w:tr>
        <w:tc>
          <w:tcPr>
            <w:tcW w:type="dxa" w:w="4200"/>
            <w:tcMar>
              <w:top w:type="dxa" w:w="80"/>
              <w:left w:type="dxa" w:w="100"/>
              <w:bottom w:type="dxa" w:w="80"/>
              <w:right w:type="dxa" w:w="100"/>
            </w:tcMar>
            <w:vAlign w:val="center"/>
          </w:tcPr>
          <w:p>
            <w:r>
              <w:rPr>
                <w:b w:val="false"/>
                <w:bCs w:val="false"/>
                <w:sz w:val="20"/>
                <w:szCs w:val="20"/>
              </w:rPr>
              <w:t xml:space="preserve">LATITUDE / LONGITUDE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~4,800-5,200</w:t>
            </w:r>
          </w:p>
        </w:tc>
      </w:tr>
      <w:tr>
        <w:tc>
          <w:tcPr>
            <w:tcW w:type="dxa" w:w="4200"/>
            <w:tcMar>
              <w:top w:type="dxa" w:w="80"/>
              <w:left w:type="dxa" w:w="100"/>
              <w:bottom w:type="dxa" w:w="80"/>
              <w:right w:type="dxa" w:w="100"/>
            </w:tcMar>
            <w:vAlign w:val="center"/>
          </w:tcPr>
          <w:p>
            <w:r>
              <w:rPr>
                <w:b w:val="false"/>
                <w:bCs w:val="false"/>
                <w:sz w:val="20"/>
                <w:szCs w:val="20"/>
              </w:rPr>
              <w:t xml:space="preserve">LIGHT</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9</w:t>
            </w:r>
          </w:p>
        </w:tc>
      </w:tr>
      <w:tr>
        <w:tc>
          <w:tcPr>
            <w:tcW w:type="dxa" w:w="4200"/>
            <w:tcMar>
              <w:top w:type="dxa" w:w="80"/>
              <w:left w:type="dxa" w:w="100"/>
              <w:bottom w:type="dxa" w:w="80"/>
              <w:right w:type="dxa" w:w="100"/>
            </w:tcMar>
            <w:vAlign w:val="center"/>
          </w:tcPr>
          <w:p>
            <w:r>
              <w:rPr>
                <w:b w:val="false"/>
                <w:bCs w:val="false"/>
                <w:sz w:val="20"/>
                <w:szCs w:val="20"/>
              </w:rPr>
              <w:t xml:space="preserve">DIVISION</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17</w:t>
            </w:r>
          </w:p>
        </w:tc>
      </w:tr>
      <w:tr>
        <w:tc>
          <w:tcPr>
            <w:tcW w:type="dxa" w:w="4200"/>
            <w:tcMar>
              <w:top w:type="dxa" w:w="80"/>
              <w:left w:type="dxa" w:w="100"/>
              <w:bottom w:type="dxa" w:w="80"/>
              <w:right w:type="dxa" w:w="100"/>
            </w:tcMar>
            <w:vAlign w:val="center"/>
          </w:tcPr>
          <w:p>
            <w:r>
              <w:rPr>
                <w:b w:val="false"/>
                <w:bCs w:val="false"/>
                <w:sz w:val="20"/>
                <w:szCs w:val="20"/>
              </w:rPr>
              <w:t xml:space="preserve">NEIGHBOURHOOD_158 / HOOD_158</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159</w:t>
            </w:r>
          </w:p>
        </w:tc>
      </w:tr>
      <w:tr>
        <w:tc>
          <w:tcPr>
            <w:tcW w:type="dxa" w:w="4200"/>
            <w:tcMar>
              <w:top w:type="dxa" w:w="80"/>
              <w:left w:type="dxa" w:w="100"/>
              <w:bottom w:type="dxa" w:w="80"/>
              <w:right w:type="dxa" w:w="100"/>
            </w:tcMar>
            <w:vAlign w:val="center"/>
          </w:tcPr>
          <w:p>
            <w:r>
              <w:rPr>
                <w:b w:val="false"/>
                <w:bCs w:val="false"/>
                <w:sz w:val="20"/>
                <w:szCs w:val="20"/>
              </w:rPr>
              <w:t xml:space="preserve">DATE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4,128</w:t>
            </w:r>
          </w:p>
        </w:tc>
      </w:tr>
      <w:tr>
        <w:tc>
          <w:tcPr>
            <w:tcW w:type="dxa" w:w="4200"/>
            <w:tcMar>
              <w:top w:type="dxa" w:w="80"/>
              <w:left w:type="dxa" w:w="100"/>
              <w:bottom w:type="dxa" w:w="80"/>
              <w:right w:type="dxa" w:w="100"/>
            </w:tcMar>
            <w:vAlign w:val="center"/>
          </w:tcPr>
          <w:p>
            <w:r>
              <w:rPr>
                <w:b w:val="false"/>
                <w:bCs w:val="false"/>
                <w:sz w:val="20"/>
                <w:szCs w:val="20"/>
              </w:rPr>
              <w:t xml:space="preserve">TIME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1,341</w:t>
            </w:r>
          </w:p>
        </w:tc>
      </w:tr>
    </w:tbl>
    <w:p>
      <w:pPr>
        <w:spacing w:after="200"/>
      </w:pPr>
    </w:p>
    <w:p>
      <w:pPr>
        <w:spacing w:after="150"/>
      </w:pPr>
      <w:r>
        <w:t xml:space="preserve">Most columns are close to fully populated. ACCLOC is the most incomplete at 28.8% missing. Several columns are high-cardinality (STREET1, STREET2, LATITUDE/LONGITUDE, DATE, TIME, NEIGHBOURHOOD_158/HOOD_158) and will need special handling before modelling — either dropped or converted into coarser engineered features rather than one-hot encoded directly.</w:t>
      </w:r>
    </w:p>
    <w:p>
      <w:pPr>
        <w:spacing w:after="150"/>
      </w:pPr>
      <w:r>
        <w:t xml:space="preserve">Fatal-rate patterns by category: DISTRICT ranges from 10.5% (Toronto and East York) to 18.4% (Scarborough). TRAFFCTL shows No Control intersections at 15.9% vs. Traffic Signal at 12.7%. LIGHT shows Dark conditions at 17.4% vs. Daylight at 12.6%. ACCLOC shows Non-Intersection collisions at 19.3% vs. At Intersection at 12.8%. RDSFCOND is counterintuitive — Dry roads show a higher fatal rate (14.0%) than Wet (13.6%), Snow (9.3%), or Ice (3.9%), plausibly reflecting higher speeds / less caution in good conditions.</w:t>
      </w:r>
    </w:p>
    <w:p>
      <w:pPr>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676525"/>
                    </a:xfrm>
                    <a:prstGeom prst="rect">
                      <a:avLst/>
                    </a:prstGeom>
                  </pic:spPr>
                </pic:pic>
              </a:graphicData>
            </a:graphic>
          </wp:inline>
        </w:drawing>
      </w:r>
    </w:p>
    <w:p>
      <w:pPr>
        <w:spacing w:after="150"/>
      </w:pPr>
    </w:p>
    <w:p>
      <w:pPr>
        <w:spacing w:after="150"/>
      </w:pPr>
      <w:r>
        <w:t xml:space="preserve">TIME was engineered into an HOUR feature (0-23) since it's stored as HHMM without leading zeros. 5 AM stands out with a 26.6% fatal rate (smaller sample, 312 records); early-morning hours generally run higher than mid-day. Late afternoon (3-5 PM), despite higher traffic volume, shows some of the lowest fatal rates (~9-13%) — congestion likely means slower speeds.</w:t>
      </w:r>
    </w:p>
    <w:p>
      <w:pPr>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286000"/>
                    </a:xfrm>
                    <a:prstGeom prst="rect">
                      <a:avLst/>
                    </a:prstGeom>
                  </pic:spPr>
                </pic:pic>
              </a:graphicData>
            </a:graphic>
          </wp:inline>
        </w:drawing>
      </w:r>
    </w:p>
    <w:p>
      <w:pPr>
        <w:spacing w:after="150"/>
      </w:pPr>
    </w:p>
    <w:p>
      <w:pPr>
        <w:pStyle w:val="Heading2"/>
        <w:spacing w:after="150" w:before="300"/>
      </w:pPr>
      <w:r>
        <w:t xml:space="preserve">Group 2 — People &amp; Vehicles Involved (Ibrahim)</w:t>
      </w:r>
    </w:p>
    <w:p>
      <w:pPr>
        <w:spacing w:after="150"/>
      </w:pPr>
      <w:r>
        <w:t xml:space="preserve">Columns: INVTYPE, INVAGE, INJURY, FATAL_NO, INITDIR, VEHTYPE, MANOEUVER, DRIVACT, DRIVCOND, PEDTYPE, PEDACT, PEDCOND, CYCLISTYPE, CYCACT, CYCCOND. Full column-by-column analysis submitted by Ibrahim; the summary below reflects that analysis.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500"/>
      </w:tblGrid>
      <w:tr>
        <w:tc>
          <w:tcPr>
            <w:tcW w:type="dxa" w:w="4200"/>
            <w:shd w:fill="D9D9D9" w:val="clear"/>
            <w:tcMar>
              <w:top w:type="dxa" w:w="80"/>
              <w:left w:type="dxa" w:w="100"/>
              <w:bottom w:type="dxa" w:w="80"/>
              <w:right w:type="dxa" w:w="100"/>
            </w:tcMar>
            <w:vAlign w:val="center"/>
          </w:tcPr>
          <w:p>
            <w:r>
              <w:rPr>
                <w:b/>
                <w:bCs/>
                <w:sz w:val="20"/>
                <w:szCs w:val="20"/>
              </w:rPr>
              <w:t xml:space="preserve">Column</w:t>
            </w:r>
          </w:p>
        </w:tc>
        <w:tc>
          <w:tcPr>
            <w:tcW w:type="dxa" w:w="2500"/>
            <w:shd w:fill="D9D9D9" w:val="clear"/>
            <w:tcMar>
              <w:top w:type="dxa" w:w="80"/>
              <w:left w:type="dxa" w:w="100"/>
              <w:bottom w:type="dxa" w:w="80"/>
              <w:right w:type="dxa" w:w="100"/>
            </w:tcMar>
            <w:vAlign w:val="center"/>
          </w:tcPr>
          <w:p>
            <w:r>
              <w:rPr>
                <w:b/>
                <w:bCs/>
                <w:sz w:val="20"/>
                <w:szCs w:val="20"/>
              </w:rPr>
              <w:t xml:space="preserve">% Missing</w:t>
            </w:r>
          </w:p>
        </w:tc>
        <w:tc>
          <w:tcPr>
            <w:tcW w:type="dxa" w:w="2500"/>
            <w:shd w:fill="D9D9D9" w:val="clear"/>
            <w:tcMar>
              <w:top w:type="dxa" w:w="80"/>
              <w:left w:type="dxa" w:w="100"/>
              <w:bottom w:type="dxa" w:w="80"/>
              <w:right w:type="dxa" w:w="100"/>
            </w:tcMar>
            <w:vAlign w:val="center"/>
          </w:tcPr>
          <w:p>
            <w:r>
              <w:rPr>
                <w:b/>
                <w:bCs/>
                <w:sz w:val="20"/>
                <w:szCs w:val="20"/>
              </w:rPr>
              <w:t xml:space="preserve">Unique Values</w:t>
            </w:r>
          </w:p>
        </w:tc>
      </w:tr>
      <w:tr>
        <w:tc>
          <w:tcPr>
            <w:tcW w:type="dxa" w:w="4200"/>
            <w:tcMar>
              <w:top w:type="dxa" w:w="80"/>
              <w:left w:type="dxa" w:w="100"/>
              <w:bottom w:type="dxa" w:w="80"/>
              <w:right w:type="dxa" w:w="100"/>
            </w:tcMar>
            <w:vAlign w:val="center"/>
          </w:tcPr>
          <w:p>
            <w:r>
              <w:rPr>
                <w:b w:val="false"/>
                <w:bCs w:val="false"/>
                <w:sz w:val="20"/>
                <w:szCs w:val="20"/>
              </w:rPr>
              <w:t xml:space="preserve">CYCLISTYPE / CYCACT / CYCCOND</w:t>
            </w:r>
          </w:p>
        </w:tc>
        <w:tc>
          <w:tcPr>
            <w:tcW w:type="dxa" w:w="2500"/>
            <w:tcMar>
              <w:top w:type="dxa" w:w="80"/>
              <w:left w:type="dxa" w:w="100"/>
              <w:bottom w:type="dxa" w:w="80"/>
              <w:right w:type="dxa" w:w="100"/>
            </w:tcMar>
            <w:vAlign w:val="center"/>
          </w:tcPr>
          <w:p>
            <w:r>
              <w:rPr>
                <w:b w:val="false"/>
                <w:bCs w:val="false"/>
                <w:sz w:val="20"/>
                <w:szCs w:val="20"/>
              </w:rPr>
              <w:t xml:space="preserve">95.8%</w:t>
            </w:r>
          </w:p>
        </w:tc>
        <w:tc>
          <w:tcPr>
            <w:tcW w:type="dxa" w:w="2500"/>
            <w:tcMar>
              <w:top w:type="dxa" w:w="80"/>
              <w:left w:type="dxa" w:w="100"/>
              <w:bottom w:type="dxa" w:w="80"/>
              <w:right w:type="dxa" w:w="100"/>
            </w:tcMar>
            <w:vAlign w:val="center"/>
          </w:tcPr>
          <w:p>
            <w:r>
              <w:rPr>
                <w:b w:val="false"/>
                <w:bCs w:val="false"/>
                <w:sz w:val="20"/>
                <w:szCs w:val="20"/>
              </w:rPr>
              <w:t xml:space="preserve">10-22</w:t>
            </w:r>
          </w:p>
        </w:tc>
      </w:tr>
      <w:tr>
        <w:tc>
          <w:tcPr>
            <w:tcW w:type="dxa" w:w="4200"/>
            <w:tcMar>
              <w:top w:type="dxa" w:w="80"/>
              <w:left w:type="dxa" w:w="100"/>
              <w:bottom w:type="dxa" w:w="80"/>
              <w:right w:type="dxa" w:w="100"/>
            </w:tcMar>
            <w:vAlign w:val="center"/>
          </w:tcPr>
          <w:p>
            <w:r>
              <w:rPr>
                <w:b w:val="false"/>
                <w:bCs w:val="false"/>
                <w:sz w:val="20"/>
                <w:szCs w:val="20"/>
              </w:rPr>
              <w:t xml:space="preserve">FATAL_NO</w:t>
            </w:r>
          </w:p>
        </w:tc>
        <w:tc>
          <w:tcPr>
            <w:tcW w:type="dxa" w:w="2500"/>
            <w:tcMar>
              <w:top w:type="dxa" w:w="80"/>
              <w:left w:type="dxa" w:w="100"/>
              <w:bottom w:type="dxa" w:w="80"/>
              <w:right w:type="dxa" w:w="100"/>
            </w:tcMar>
            <w:vAlign w:val="center"/>
          </w:tcPr>
          <w:p>
            <w:r>
              <w:rPr>
                <w:b w:val="false"/>
                <w:bCs w:val="false"/>
                <w:sz w:val="20"/>
                <w:szCs w:val="20"/>
              </w:rPr>
              <w:t xml:space="preserve">95.4%</w:t>
            </w:r>
          </w:p>
        </w:tc>
        <w:tc>
          <w:tcPr>
            <w:tcW w:type="dxa" w:w="2500"/>
            <w:tcMar>
              <w:top w:type="dxa" w:w="80"/>
              <w:left w:type="dxa" w:w="100"/>
              <w:bottom w:type="dxa" w:w="80"/>
              <w:right w:type="dxa" w:w="100"/>
            </w:tcMar>
            <w:vAlign w:val="center"/>
          </w:tcPr>
          <w:p>
            <w:r>
              <w:rPr>
                <w:b w:val="false"/>
                <w:bCs w:val="false"/>
                <w:sz w:val="20"/>
                <w:szCs w:val="20"/>
              </w:rPr>
              <w:t xml:space="preserve">78</w:t>
            </w:r>
          </w:p>
        </w:tc>
      </w:tr>
      <w:tr>
        <w:tc>
          <w:tcPr>
            <w:tcW w:type="dxa" w:w="4200"/>
            <w:tcMar>
              <w:top w:type="dxa" w:w="80"/>
              <w:left w:type="dxa" w:w="100"/>
              <w:bottom w:type="dxa" w:w="80"/>
              <w:right w:type="dxa" w:w="100"/>
            </w:tcMar>
            <w:vAlign w:val="center"/>
          </w:tcPr>
          <w:p>
            <w:r>
              <w:rPr>
                <w:b w:val="false"/>
                <w:bCs w:val="false"/>
                <w:sz w:val="20"/>
                <w:szCs w:val="20"/>
              </w:rPr>
              <w:t xml:space="preserve">PEDTYPE / PEDACT</w:t>
            </w:r>
          </w:p>
        </w:tc>
        <w:tc>
          <w:tcPr>
            <w:tcW w:type="dxa" w:w="2500"/>
            <w:tcMar>
              <w:top w:type="dxa" w:w="80"/>
              <w:left w:type="dxa" w:w="100"/>
              <w:bottom w:type="dxa" w:w="80"/>
              <w:right w:type="dxa" w:w="100"/>
            </w:tcMar>
            <w:vAlign w:val="center"/>
          </w:tcPr>
          <w:p>
            <w:r>
              <w:rPr>
                <w:b w:val="false"/>
                <w:bCs w:val="false"/>
                <w:sz w:val="20"/>
                <w:szCs w:val="20"/>
              </w:rPr>
              <w:t xml:space="preserve">83.0%</w:t>
            </w:r>
          </w:p>
        </w:tc>
        <w:tc>
          <w:tcPr>
            <w:tcW w:type="dxa" w:w="2500"/>
            <w:tcMar>
              <w:top w:type="dxa" w:w="80"/>
              <w:left w:type="dxa" w:w="100"/>
              <w:bottom w:type="dxa" w:w="80"/>
              <w:right w:type="dxa" w:w="100"/>
            </w:tcMar>
            <w:vAlign w:val="center"/>
          </w:tcPr>
          <w:p>
            <w:r>
              <w:rPr>
                <w:b w:val="false"/>
                <w:bCs w:val="false"/>
                <w:sz w:val="20"/>
                <w:szCs w:val="20"/>
              </w:rPr>
              <w:t xml:space="preserve">15-16</w:t>
            </w:r>
          </w:p>
        </w:tc>
      </w:tr>
      <w:tr>
        <w:tc>
          <w:tcPr>
            <w:tcW w:type="dxa" w:w="4200"/>
            <w:tcMar>
              <w:top w:type="dxa" w:w="80"/>
              <w:left w:type="dxa" w:w="100"/>
              <w:bottom w:type="dxa" w:w="80"/>
              <w:right w:type="dxa" w:w="100"/>
            </w:tcMar>
            <w:vAlign w:val="center"/>
          </w:tcPr>
          <w:p>
            <w:r>
              <w:rPr>
                <w:b w:val="false"/>
                <w:bCs w:val="false"/>
                <w:sz w:val="20"/>
                <w:szCs w:val="20"/>
              </w:rPr>
              <w:t xml:space="preserve">PEDCOND</w:t>
            </w:r>
          </w:p>
        </w:tc>
        <w:tc>
          <w:tcPr>
            <w:tcW w:type="dxa" w:w="2500"/>
            <w:tcMar>
              <w:top w:type="dxa" w:w="80"/>
              <w:left w:type="dxa" w:w="100"/>
              <w:bottom w:type="dxa" w:w="80"/>
              <w:right w:type="dxa" w:w="100"/>
            </w:tcMar>
            <w:vAlign w:val="center"/>
          </w:tcPr>
          <w:p>
            <w:r>
              <w:rPr>
                <w:b w:val="false"/>
                <w:bCs w:val="false"/>
                <w:sz w:val="20"/>
                <w:szCs w:val="20"/>
              </w:rPr>
              <w:t xml:space="preserve">82.9%</w:t>
            </w:r>
          </w:p>
        </w:tc>
        <w:tc>
          <w:tcPr>
            <w:tcW w:type="dxa" w:w="2500"/>
            <w:tcMar>
              <w:top w:type="dxa" w:w="80"/>
              <w:left w:type="dxa" w:w="100"/>
              <w:bottom w:type="dxa" w:w="80"/>
              <w:right w:type="dxa" w:w="100"/>
            </w:tcMar>
            <w:vAlign w:val="center"/>
          </w:tcPr>
          <w:p>
            <w:r>
              <w:rPr>
                <w:b w:val="false"/>
                <w:bCs w:val="false"/>
                <w:sz w:val="20"/>
                <w:szCs w:val="20"/>
              </w:rPr>
              <w:t xml:space="preserve">10</w:t>
            </w:r>
          </w:p>
        </w:tc>
      </w:tr>
      <w:tr>
        <w:tc>
          <w:tcPr>
            <w:tcW w:type="dxa" w:w="4200"/>
            <w:tcMar>
              <w:top w:type="dxa" w:w="80"/>
              <w:left w:type="dxa" w:w="100"/>
              <w:bottom w:type="dxa" w:w="80"/>
              <w:right w:type="dxa" w:w="100"/>
            </w:tcMar>
            <w:vAlign w:val="center"/>
          </w:tcPr>
          <w:p>
            <w:r>
              <w:rPr>
                <w:b w:val="false"/>
                <w:bCs w:val="false"/>
                <w:sz w:val="20"/>
                <w:szCs w:val="20"/>
              </w:rPr>
              <w:t xml:space="preserve">DRIVACT / DRIVCOND</w:t>
            </w:r>
          </w:p>
        </w:tc>
        <w:tc>
          <w:tcPr>
            <w:tcW w:type="dxa" w:w="2500"/>
            <w:tcMar>
              <w:top w:type="dxa" w:w="80"/>
              <w:left w:type="dxa" w:w="100"/>
              <w:bottom w:type="dxa" w:w="80"/>
              <w:right w:type="dxa" w:w="100"/>
            </w:tcMar>
            <w:vAlign w:val="center"/>
          </w:tcPr>
          <w:p>
            <w:r>
              <w:rPr>
                <w:b w:val="false"/>
                <w:bCs w:val="false"/>
                <w:sz w:val="20"/>
                <w:szCs w:val="20"/>
              </w:rPr>
              <w:t xml:space="preserve">49.0%</w:t>
            </w:r>
          </w:p>
        </w:tc>
        <w:tc>
          <w:tcPr>
            <w:tcW w:type="dxa" w:w="2500"/>
            <w:tcMar>
              <w:top w:type="dxa" w:w="80"/>
              <w:left w:type="dxa" w:w="100"/>
              <w:bottom w:type="dxa" w:w="80"/>
              <w:right w:type="dxa" w:w="100"/>
            </w:tcMar>
            <w:vAlign w:val="center"/>
          </w:tcPr>
          <w:p>
            <w:r>
              <w:rPr>
                <w:b w:val="false"/>
                <w:bCs w:val="false"/>
                <w:sz w:val="20"/>
                <w:szCs w:val="20"/>
              </w:rPr>
              <w:t xml:space="preserve">10-13</w:t>
            </w:r>
          </w:p>
        </w:tc>
      </w:tr>
      <w:tr>
        <w:tc>
          <w:tcPr>
            <w:tcW w:type="dxa" w:w="4200"/>
            <w:tcMar>
              <w:top w:type="dxa" w:w="80"/>
              <w:left w:type="dxa" w:w="100"/>
              <w:bottom w:type="dxa" w:w="80"/>
              <w:right w:type="dxa" w:w="100"/>
            </w:tcMar>
            <w:vAlign w:val="center"/>
          </w:tcPr>
          <w:p>
            <w:r>
              <w:rPr>
                <w:b w:val="false"/>
                <w:bCs w:val="false"/>
                <w:sz w:val="20"/>
                <w:szCs w:val="20"/>
              </w:rPr>
              <w:t xml:space="preserve">MANOEUVER</w:t>
            </w:r>
          </w:p>
        </w:tc>
        <w:tc>
          <w:tcPr>
            <w:tcW w:type="dxa" w:w="2500"/>
            <w:tcMar>
              <w:top w:type="dxa" w:w="80"/>
              <w:left w:type="dxa" w:w="100"/>
              <w:bottom w:type="dxa" w:w="80"/>
              <w:right w:type="dxa" w:w="100"/>
            </w:tcMar>
            <w:vAlign w:val="center"/>
          </w:tcPr>
          <w:p>
            <w:r>
              <w:rPr>
                <w:b w:val="false"/>
                <w:bCs w:val="false"/>
                <w:sz w:val="20"/>
                <w:szCs w:val="20"/>
              </w:rPr>
              <w:t xml:space="preserve">42.0%</w:t>
            </w:r>
          </w:p>
        </w:tc>
        <w:tc>
          <w:tcPr>
            <w:tcW w:type="dxa" w:w="2500"/>
            <w:tcMar>
              <w:top w:type="dxa" w:w="80"/>
              <w:left w:type="dxa" w:w="100"/>
              <w:bottom w:type="dxa" w:w="80"/>
              <w:right w:type="dxa" w:w="100"/>
            </w:tcMar>
            <w:vAlign w:val="center"/>
          </w:tcPr>
          <w:p>
            <w:r>
              <w:rPr>
                <w:b w:val="false"/>
                <w:bCs w:val="false"/>
                <w:sz w:val="20"/>
                <w:szCs w:val="20"/>
              </w:rPr>
              <w:t xml:space="preserve">16</w:t>
            </w:r>
          </w:p>
        </w:tc>
      </w:tr>
      <w:tr>
        <w:tc>
          <w:tcPr>
            <w:tcW w:type="dxa" w:w="4200"/>
            <w:tcMar>
              <w:top w:type="dxa" w:w="80"/>
              <w:left w:type="dxa" w:w="100"/>
              <w:bottom w:type="dxa" w:w="80"/>
              <w:right w:type="dxa" w:w="100"/>
            </w:tcMar>
            <w:vAlign w:val="center"/>
          </w:tcPr>
          <w:p>
            <w:r>
              <w:rPr>
                <w:b w:val="false"/>
                <w:bCs w:val="false"/>
                <w:sz w:val="20"/>
                <w:szCs w:val="20"/>
              </w:rPr>
              <w:t xml:space="preserve">INJURY</w:t>
            </w:r>
          </w:p>
        </w:tc>
        <w:tc>
          <w:tcPr>
            <w:tcW w:type="dxa" w:w="2500"/>
            <w:tcMar>
              <w:top w:type="dxa" w:w="80"/>
              <w:left w:type="dxa" w:w="100"/>
              <w:bottom w:type="dxa" w:w="80"/>
              <w:right w:type="dxa" w:w="100"/>
            </w:tcMar>
            <w:vAlign w:val="center"/>
          </w:tcPr>
          <w:p>
            <w:r>
              <w:rPr>
                <w:b w:val="false"/>
                <w:bCs w:val="false"/>
                <w:sz w:val="20"/>
                <w:szCs w:val="20"/>
              </w:rPr>
              <w:t xml:space="preserve">46.9%</w:t>
            </w:r>
          </w:p>
        </w:tc>
        <w:tc>
          <w:tcPr>
            <w:tcW w:type="dxa" w:w="2500"/>
            <w:tcMar>
              <w:top w:type="dxa" w:w="80"/>
              <w:left w:type="dxa" w:w="100"/>
              <w:bottom w:type="dxa" w:w="80"/>
              <w:right w:type="dxa" w:w="100"/>
            </w:tcMar>
            <w:vAlign w:val="center"/>
          </w:tcPr>
          <w:p>
            <w:r>
              <w:rPr>
                <w:b w:val="false"/>
                <w:bCs w:val="false"/>
                <w:sz w:val="20"/>
                <w:szCs w:val="20"/>
              </w:rPr>
              <w:t xml:space="preserve">4</w:t>
            </w:r>
          </w:p>
        </w:tc>
      </w:tr>
      <w:tr>
        <w:tc>
          <w:tcPr>
            <w:tcW w:type="dxa" w:w="4200"/>
            <w:tcMar>
              <w:top w:type="dxa" w:w="80"/>
              <w:left w:type="dxa" w:w="100"/>
              <w:bottom w:type="dxa" w:w="80"/>
              <w:right w:type="dxa" w:w="100"/>
            </w:tcMar>
            <w:vAlign w:val="center"/>
          </w:tcPr>
          <w:p>
            <w:r>
              <w:rPr>
                <w:b w:val="false"/>
                <w:bCs w:val="false"/>
                <w:sz w:val="20"/>
                <w:szCs w:val="20"/>
              </w:rPr>
              <w:t xml:space="preserve">INITDIR</w:t>
            </w:r>
          </w:p>
        </w:tc>
        <w:tc>
          <w:tcPr>
            <w:tcW w:type="dxa" w:w="2500"/>
            <w:tcMar>
              <w:top w:type="dxa" w:w="80"/>
              <w:left w:type="dxa" w:w="100"/>
              <w:bottom w:type="dxa" w:w="80"/>
              <w:right w:type="dxa" w:w="100"/>
            </w:tcMar>
            <w:vAlign w:val="center"/>
          </w:tcPr>
          <w:p>
            <w:r>
              <w:rPr>
                <w:b w:val="false"/>
                <w:bCs w:val="false"/>
                <w:sz w:val="20"/>
                <w:szCs w:val="20"/>
              </w:rPr>
              <w:t xml:space="preserve">27.8%</w:t>
            </w:r>
          </w:p>
        </w:tc>
        <w:tc>
          <w:tcPr>
            <w:tcW w:type="dxa" w:w="2500"/>
            <w:tcMar>
              <w:top w:type="dxa" w:w="80"/>
              <w:left w:type="dxa" w:w="100"/>
              <w:bottom w:type="dxa" w:w="80"/>
              <w:right w:type="dxa" w:w="100"/>
            </w:tcMar>
            <w:vAlign w:val="center"/>
          </w:tcPr>
          <w:p>
            <w:r>
              <w:rPr>
                <w:b w:val="false"/>
                <w:bCs w:val="false"/>
                <w:sz w:val="20"/>
                <w:szCs w:val="20"/>
              </w:rPr>
              <w:t xml:space="preserve">5</w:t>
            </w:r>
          </w:p>
        </w:tc>
      </w:tr>
      <w:tr>
        <w:tc>
          <w:tcPr>
            <w:tcW w:type="dxa" w:w="4200"/>
            <w:tcMar>
              <w:top w:type="dxa" w:w="80"/>
              <w:left w:type="dxa" w:w="100"/>
              <w:bottom w:type="dxa" w:w="80"/>
              <w:right w:type="dxa" w:w="100"/>
            </w:tcMar>
            <w:vAlign w:val="center"/>
          </w:tcPr>
          <w:p>
            <w:r>
              <w:rPr>
                <w:b w:val="false"/>
                <w:bCs w:val="false"/>
                <w:sz w:val="20"/>
                <w:szCs w:val="20"/>
              </w:rPr>
              <w:t xml:space="preserve">VEHTYPE</w:t>
            </w:r>
          </w:p>
        </w:tc>
        <w:tc>
          <w:tcPr>
            <w:tcW w:type="dxa" w:w="2500"/>
            <w:tcMar>
              <w:top w:type="dxa" w:w="80"/>
              <w:left w:type="dxa" w:w="100"/>
              <w:bottom w:type="dxa" w:w="80"/>
              <w:right w:type="dxa" w:w="100"/>
            </w:tcMar>
            <w:vAlign w:val="center"/>
          </w:tcPr>
          <w:p>
            <w:r>
              <w:rPr>
                <w:b w:val="false"/>
                <w:bCs w:val="false"/>
                <w:sz w:val="20"/>
                <w:szCs w:val="20"/>
              </w:rPr>
              <w:t xml:space="preserve">18.4%</w:t>
            </w:r>
          </w:p>
        </w:tc>
        <w:tc>
          <w:tcPr>
            <w:tcW w:type="dxa" w:w="2500"/>
            <w:tcMar>
              <w:top w:type="dxa" w:w="80"/>
              <w:left w:type="dxa" w:w="100"/>
              <w:bottom w:type="dxa" w:w="80"/>
              <w:right w:type="dxa" w:w="100"/>
            </w:tcMar>
            <w:vAlign w:val="center"/>
          </w:tcPr>
          <w:p>
            <w:r>
              <w:rPr>
                <w:b w:val="false"/>
                <w:bCs w:val="false"/>
                <w:sz w:val="20"/>
                <w:szCs w:val="20"/>
              </w:rPr>
              <w:t xml:space="preserve">32</w:t>
            </w:r>
          </w:p>
        </w:tc>
      </w:tr>
      <w:tr>
        <w:tc>
          <w:tcPr>
            <w:tcW w:type="dxa" w:w="4200"/>
            <w:tcMar>
              <w:top w:type="dxa" w:w="80"/>
              <w:left w:type="dxa" w:w="100"/>
              <w:bottom w:type="dxa" w:w="80"/>
              <w:right w:type="dxa" w:w="100"/>
            </w:tcMar>
            <w:vAlign w:val="center"/>
          </w:tcPr>
          <w:p>
            <w:r>
              <w:rPr>
                <w:b w:val="false"/>
                <w:bCs w:val="false"/>
                <w:sz w:val="20"/>
                <w:szCs w:val="20"/>
              </w:rPr>
              <w:t xml:space="preserve">INVTYPE</w:t>
            </w:r>
          </w:p>
        </w:tc>
        <w:tc>
          <w:tcPr>
            <w:tcW w:type="dxa" w:w="2500"/>
            <w:tcMar>
              <w:top w:type="dxa" w:w="80"/>
              <w:left w:type="dxa" w:w="100"/>
              <w:bottom w:type="dxa" w:w="80"/>
              <w:right w:type="dxa" w:w="100"/>
            </w:tcMar>
            <w:vAlign w:val="center"/>
          </w:tcPr>
          <w:p>
            <w:r>
              <w:rPr>
                <w:b w:val="false"/>
                <w:bCs w:val="false"/>
                <w:sz w:val="20"/>
                <w:szCs w:val="20"/>
              </w:rPr>
              <w:t xml:space="preserve">0.1%</w:t>
            </w:r>
          </w:p>
        </w:tc>
        <w:tc>
          <w:tcPr>
            <w:tcW w:type="dxa" w:w="2500"/>
            <w:tcMar>
              <w:top w:type="dxa" w:w="80"/>
              <w:left w:type="dxa" w:w="100"/>
              <w:bottom w:type="dxa" w:w="80"/>
              <w:right w:type="dxa" w:w="100"/>
            </w:tcMar>
            <w:vAlign w:val="center"/>
          </w:tcPr>
          <w:p>
            <w:r>
              <w:rPr>
                <w:b w:val="false"/>
                <w:bCs w:val="false"/>
                <w:sz w:val="20"/>
                <w:szCs w:val="20"/>
              </w:rPr>
              <w:t xml:space="preserve">19</w:t>
            </w:r>
          </w:p>
        </w:tc>
      </w:tr>
      <w:tr>
        <w:tc>
          <w:tcPr>
            <w:tcW w:type="dxa" w:w="4200"/>
            <w:tcMar>
              <w:top w:type="dxa" w:w="80"/>
              <w:left w:type="dxa" w:w="100"/>
              <w:bottom w:type="dxa" w:w="80"/>
              <w:right w:type="dxa" w:w="100"/>
            </w:tcMar>
            <w:vAlign w:val="center"/>
          </w:tcPr>
          <w:p>
            <w:r>
              <w:rPr>
                <w:b w:val="false"/>
                <w:bCs w:val="false"/>
                <w:sz w:val="20"/>
                <w:szCs w:val="20"/>
              </w:rPr>
              <w:t xml:space="preserve">INVAGE</w:t>
            </w:r>
          </w:p>
        </w:tc>
        <w:tc>
          <w:tcPr>
            <w:tcW w:type="dxa" w:w="2500"/>
            <w:tcMar>
              <w:top w:type="dxa" w:w="80"/>
              <w:left w:type="dxa" w:w="100"/>
              <w:bottom w:type="dxa" w:w="80"/>
              <w:right w:type="dxa" w:w="100"/>
            </w:tcMar>
            <w:vAlign w:val="center"/>
          </w:tcPr>
          <w:p>
            <w:r>
              <w:rPr>
                <w:b w:val="false"/>
                <w:bCs w:val="false"/>
                <w:sz w:val="20"/>
                <w:szCs w:val="20"/>
              </w:rPr>
              <w:t xml:space="preserve">0.0%</w:t>
            </w:r>
          </w:p>
        </w:tc>
        <w:tc>
          <w:tcPr>
            <w:tcW w:type="dxa" w:w="2500"/>
            <w:tcMar>
              <w:top w:type="dxa" w:w="80"/>
              <w:left w:type="dxa" w:w="100"/>
              <w:bottom w:type="dxa" w:w="80"/>
              <w:right w:type="dxa" w:w="100"/>
            </w:tcMar>
            <w:vAlign w:val="center"/>
          </w:tcPr>
          <w:p>
            <w:r>
              <w:rPr>
                <w:b w:val="false"/>
                <w:bCs w:val="false"/>
                <w:sz w:val="20"/>
                <w:szCs w:val="20"/>
              </w:rPr>
              <w:t xml:space="preserve">21</w:t>
            </w:r>
          </w:p>
        </w:tc>
      </w:tr>
    </w:tbl>
    <w:p>
      <w:pPr>
        <w:spacing w:after="200"/>
      </w:pPr>
    </w:p>
    <w:p>
      <w:pPr>
        <w:spacing w:after="150"/>
      </w:pPr>
      <w:r>
        <w:t xml:space="preserve">Missing data here is structural, not random: PEDTYPE/PEDACT/PEDCOND (~83% missing) and CYCLISTYPE/CYCACT/CYCCOND (~96% missing) only apply to pedestrian or cyclist records respectively — everyone else has no value by design. FATAL_NO (95.4% missing) is only filled for records where that specific person died. DRIVACT/DRIVCOND (~49% missing) and MANOEUVER (42% missing) only apply to drivers. These columns likely need per-involvement-type handling rather than blanket imputation across the whole dataset.</w:t>
      </w:r>
    </w:p>
    <w:p>
      <w:pPr>
        <w:spacing w:after="150"/>
      </w:pPr>
      <w:r>
        <w:t xml:space="preserve">Fatal-rate patterns: Truck Driver (25.7%) and Pedestrian (18.2%) involvement types show notably higher fatal rates than Driver (12.7%) or Cyclist (5.5%). DRIVACT shows Exceeding Speed Limit at 31.9% versus 13.5% for Driving Properly — the clearest single-factor signal in this group. DRIVCOND shows Ability Impaired by Drugs (40.0%, small sample) and Had Been Drinking (19.9%) both well above Normal (11.1%).</w:t>
      </w:r>
    </w:p>
    <w:p>
      <w:pPr>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743200"/>
                    </a:xfrm>
                    <a:prstGeom prst="rect">
                      <a:avLst/>
                    </a:prstGeom>
                  </pic:spPr>
                </pic:pic>
              </a:graphicData>
            </a:graphic>
          </wp:inline>
        </w:drawing>
      </w:r>
    </w:p>
    <w:p>
      <w:pPr>
        <w:spacing w:after="150"/>
      </w:pPr>
    </w:p>
    <w:p>
      <w:pPr>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43200"/>
                    </a:xfrm>
                    <a:prstGeom prst="rect">
                      <a:avLst/>
                    </a:prstGeom>
                  </pic:spPr>
                </pic:pic>
              </a:graphicData>
            </a:graphic>
          </wp:inline>
        </w:drawing>
      </w:r>
    </w:p>
    <w:p>
      <w:pPr>
        <w:spacing w:after="150"/>
      </w:pPr>
    </w:p>
    <w:p>
      <w:pPr>
        <w:pStyle w:val="Heading2"/>
        <w:spacing w:after="150" w:before="300"/>
      </w:pPr>
      <w:r>
        <w:t xml:space="preserve">Group 3 — Collision-Type Flags (13 Yes/No columns)</w:t>
      </w:r>
    </w:p>
    <w:p>
      <w:pPr>
        <w:spacing w:after="150"/>
      </w:pPr>
      <w:r>
        <w:t xml:space="preserve">Columns: PEDESTRIAN, CYCLIST, AUTOMOBILE, MOTORCYCLE, TRUCK, TRSN_CITY_VEH, EMERG_VEH, PASSENGER, SPEEDING, AG_DRIV, REDLIGHT, ALCOHOL, DISABILITY. Each column is “Yes” if that factor applied to the collision, blank otherwise — per the glossary, blank means “No,” not missing data. All 13 columns had 0% true missing values.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D9D9D9" w:val="clear"/>
            <w:tcMar>
              <w:top w:type="dxa" w:w="80"/>
              <w:left w:type="dxa" w:w="100"/>
              <w:bottom w:type="dxa" w:w="80"/>
              <w:right w:type="dxa" w:w="100"/>
            </w:tcMar>
            <w:vAlign w:val="center"/>
          </w:tcPr>
          <w:p>
            <w:r>
              <w:rPr>
                <w:b/>
                <w:bCs/>
                <w:sz w:val="20"/>
                <w:szCs w:val="20"/>
              </w:rPr>
              <w:t xml:space="preserve">Flag</w:t>
            </w:r>
          </w:p>
        </w:tc>
        <w:tc>
          <w:tcPr>
            <w:tcW w:type="dxa" w:w="2200"/>
            <w:shd w:fill="D9D9D9" w:val="clear"/>
            <w:tcMar>
              <w:top w:type="dxa" w:w="80"/>
              <w:left w:type="dxa" w:w="100"/>
              <w:bottom w:type="dxa" w:w="80"/>
              <w:right w:type="dxa" w:w="100"/>
            </w:tcMar>
            <w:vAlign w:val="center"/>
          </w:tcPr>
          <w:p>
            <w:r>
              <w:rPr>
                <w:b/>
                <w:bCs/>
                <w:sz w:val="20"/>
                <w:szCs w:val="20"/>
              </w:rPr>
              <w:t xml:space="preserve">% of records = Yes</w:t>
            </w:r>
          </w:p>
        </w:tc>
        <w:tc>
          <w:tcPr>
            <w:tcW w:type="dxa" w:w="2200"/>
            <w:shd w:fill="D9D9D9" w:val="clear"/>
            <w:tcMar>
              <w:top w:type="dxa" w:w="80"/>
              <w:left w:type="dxa" w:w="100"/>
              <w:bottom w:type="dxa" w:w="80"/>
              <w:right w:type="dxa" w:w="100"/>
            </w:tcMar>
            <w:vAlign w:val="center"/>
          </w:tcPr>
          <w:p>
            <w:r>
              <w:rPr>
                <w:b/>
                <w:bCs/>
                <w:sz w:val="20"/>
                <w:szCs w:val="20"/>
              </w:rPr>
              <w:t xml:space="preserve">Fatal rate if Yes</w:t>
            </w:r>
          </w:p>
        </w:tc>
        <w:tc>
          <w:tcPr>
            <w:tcW w:type="dxa" w:w="2200"/>
            <w:shd w:fill="D9D9D9" w:val="clear"/>
            <w:tcMar>
              <w:top w:type="dxa" w:w="80"/>
              <w:left w:type="dxa" w:w="100"/>
              <w:bottom w:type="dxa" w:w="80"/>
              <w:right w:type="dxa" w:w="100"/>
            </w:tcMar>
            <w:vAlign w:val="center"/>
          </w:tcPr>
          <w:p>
            <w:r>
              <w:rPr>
                <w:b/>
                <w:bCs/>
                <w:sz w:val="20"/>
                <w:szCs w:val="20"/>
              </w:rPr>
              <w:t xml:space="preserve">Fatal rate if No</w:t>
            </w:r>
          </w:p>
        </w:tc>
      </w:tr>
      <w:tr>
        <w:tc>
          <w:tcPr>
            <w:tcW w:type="dxa" w:w="2600"/>
            <w:tcMar>
              <w:top w:type="dxa" w:w="80"/>
              <w:left w:type="dxa" w:w="100"/>
              <w:bottom w:type="dxa" w:w="80"/>
              <w:right w:type="dxa" w:w="100"/>
            </w:tcMar>
            <w:vAlign w:val="center"/>
          </w:tcPr>
          <w:p>
            <w:r>
              <w:rPr>
                <w:b w:val="false"/>
                <w:bCs w:val="false"/>
                <w:sz w:val="20"/>
                <w:szCs w:val="20"/>
              </w:rPr>
              <w:t xml:space="preserve">TRUCK</w:t>
            </w:r>
          </w:p>
        </w:tc>
        <w:tc>
          <w:tcPr>
            <w:tcW w:type="dxa" w:w="2200"/>
            <w:tcMar>
              <w:top w:type="dxa" w:w="80"/>
              <w:left w:type="dxa" w:w="100"/>
              <w:bottom w:type="dxa" w:w="80"/>
              <w:right w:type="dxa" w:w="100"/>
            </w:tcMar>
            <w:vAlign w:val="center"/>
          </w:tcPr>
          <w:p>
            <w:r>
              <w:rPr>
                <w:b w:val="false"/>
                <w:bCs w:val="false"/>
                <w:sz w:val="20"/>
                <w:szCs w:val="20"/>
              </w:rPr>
              <w:t xml:space="preserve">6.17%</w:t>
            </w:r>
          </w:p>
        </w:tc>
        <w:tc>
          <w:tcPr>
            <w:tcW w:type="dxa" w:w="2200"/>
            <w:tcMar>
              <w:top w:type="dxa" w:w="80"/>
              <w:left w:type="dxa" w:w="100"/>
              <w:bottom w:type="dxa" w:w="80"/>
              <w:right w:type="dxa" w:w="100"/>
            </w:tcMar>
            <w:vAlign w:val="center"/>
          </w:tcPr>
          <w:p>
            <w:r>
              <w:rPr>
                <w:b w:val="false"/>
                <w:bCs w:val="false"/>
                <w:sz w:val="20"/>
                <w:szCs w:val="20"/>
              </w:rPr>
              <w:t xml:space="preserve">29.17%</w:t>
            </w:r>
          </w:p>
        </w:tc>
        <w:tc>
          <w:tcPr>
            <w:tcW w:type="dxa" w:w="2200"/>
            <w:tcMar>
              <w:top w:type="dxa" w:w="80"/>
              <w:left w:type="dxa" w:w="100"/>
              <w:bottom w:type="dxa" w:w="80"/>
              <w:right w:type="dxa" w:w="100"/>
            </w:tcMar>
            <w:vAlign w:val="center"/>
          </w:tcPr>
          <w:p>
            <w:r>
              <w:rPr>
                <w:b w:val="false"/>
                <w:bCs w:val="false"/>
                <w:sz w:val="20"/>
                <w:szCs w:val="20"/>
              </w:rPr>
              <w:t xml:space="preserve">13.09%</w:t>
            </w:r>
          </w:p>
        </w:tc>
      </w:tr>
      <w:tr>
        <w:tc>
          <w:tcPr>
            <w:tcW w:type="dxa" w:w="2600"/>
            <w:tcMar>
              <w:top w:type="dxa" w:w="80"/>
              <w:left w:type="dxa" w:w="100"/>
              <w:bottom w:type="dxa" w:w="80"/>
              <w:right w:type="dxa" w:w="100"/>
            </w:tcMar>
            <w:vAlign w:val="center"/>
          </w:tcPr>
          <w:p>
            <w:r>
              <w:rPr>
                <w:b w:val="false"/>
                <w:bCs w:val="false"/>
                <w:sz w:val="20"/>
                <w:szCs w:val="20"/>
              </w:rPr>
              <w:t xml:space="preserve">SPEEDING</w:t>
            </w:r>
          </w:p>
        </w:tc>
        <w:tc>
          <w:tcPr>
            <w:tcW w:type="dxa" w:w="2200"/>
            <w:tcMar>
              <w:top w:type="dxa" w:w="80"/>
              <w:left w:type="dxa" w:w="100"/>
              <w:bottom w:type="dxa" w:w="80"/>
              <w:right w:type="dxa" w:w="100"/>
            </w:tcMar>
            <w:vAlign w:val="center"/>
          </w:tcPr>
          <w:p>
            <w:r>
              <w:rPr>
                <w:b w:val="false"/>
                <w:bCs w:val="false"/>
                <w:sz w:val="20"/>
                <w:szCs w:val="20"/>
              </w:rPr>
              <w:t xml:space="preserve">14.21%</w:t>
            </w:r>
          </w:p>
        </w:tc>
        <w:tc>
          <w:tcPr>
            <w:tcW w:type="dxa" w:w="2200"/>
            <w:tcMar>
              <w:top w:type="dxa" w:w="80"/>
              <w:left w:type="dxa" w:w="100"/>
              <w:bottom w:type="dxa" w:w="80"/>
              <w:right w:type="dxa" w:w="100"/>
            </w:tcMar>
            <w:vAlign w:val="center"/>
          </w:tcPr>
          <w:p>
            <w:r>
              <w:rPr>
                <w:b w:val="false"/>
                <w:bCs w:val="false"/>
                <w:sz w:val="20"/>
                <w:szCs w:val="20"/>
              </w:rPr>
              <w:t xml:space="preserve">21.80%</w:t>
            </w:r>
          </w:p>
        </w:tc>
        <w:tc>
          <w:tcPr>
            <w:tcW w:type="dxa" w:w="2200"/>
            <w:tcMar>
              <w:top w:type="dxa" w:w="80"/>
              <w:left w:type="dxa" w:w="100"/>
              <w:bottom w:type="dxa" w:w="80"/>
              <w:right w:type="dxa" w:w="100"/>
            </w:tcMar>
            <w:vAlign w:val="center"/>
          </w:tcPr>
          <w:p>
            <w:r>
              <w:rPr>
                <w:b w:val="false"/>
                <w:bCs w:val="false"/>
                <w:sz w:val="20"/>
                <w:szCs w:val="20"/>
              </w:rPr>
              <w:t xml:space="preserve">12.81%</w:t>
            </w:r>
          </w:p>
        </w:tc>
      </w:tr>
      <w:tr>
        <w:tc>
          <w:tcPr>
            <w:tcW w:type="dxa" w:w="2600"/>
            <w:tcMar>
              <w:top w:type="dxa" w:w="80"/>
              <w:left w:type="dxa" w:w="100"/>
              <w:bottom w:type="dxa" w:w="80"/>
              <w:right w:type="dxa" w:w="100"/>
            </w:tcMar>
            <w:vAlign w:val="center"/>
          </w:tcPr>
          <w:p>
            <w:r>
              <w:rPr>
                <w:b w:val="false"/>
                <w:bCs w:val="false"/>
                <w:sz w:val="20"/>
                <w:szCs w:val="20"/>
              </w:rPr>
              <w:t xml:space="preserve">TRSN_CITY_VEH</w:t>
            </w:r>
          </w:p>
        </w:tc>
        <w:tc>
          <w:tcPr>
            <w:tcW w:type="dxa" w:w="2200"/>
            <w:tcMar>
              <w:top w:type="dxa" w:w="80"/>
              <w:left w:type="dxa" w:w="100"/>
              <w:bottom w:type="dxa" w:w="80"/>
              <w:right w:type="dxa" w:w="100"/>
            </w:tcMar>
            <w:vAlign w:val="center"/>
          </w:tcPr>
          <w:p>
            <w:r>
              <w:rPr>
                <w:b w:val="false"/>
                <w:bCs w:val="false"/>
                <w:sz w:val="20"/>
                <w:szCs w:val="20"/>
              </w:rPr>
              <w:t xml:space="preserve">6.06%</w:t>
            </w:r>
          </w:p>
        </w:tc>
        <w:tc>
          <w:tcPr>
            <w:tcW w:type="dxa" w:w="2200"/>
            <w:tcMar>
              <w:top w:type="dxa" w:w="80"/>
              <w:left w:type="dxa" w:w="100"/>
              <w:bottom w:type="dxa" w:w="80"/>
              <w:right w:type="dxa" w:w="100"/>
            </w:tcMar>
            <w:vAlign w:val="center"/>
          </w:tcPr>
          <w:p>
            <w:r>
              <w:rPr>
                <w:b w:val="false"/>
                <w:bCs w:val="false"/>
                <w:sz w:val="20"/>
                <w:szCs w:val="20"/>
              </w:rPr>
              <w:t xml:space="preserve">20.56%</w:t>
            </w:r>
          </w:p>
        </w:tc>
        <w:tc>
          <w:tcPr>
            <w:tcW w:type="dxa" w:w="2200"/>
            <w:tcMar>
              <w:top w:type="dxa" w:w="80"/>
              <w:left w:type="dxa" w:w="100"/>
              <w:bottom w:type="dxa" w:w="80"/>
              <w:right w:type="dxa" w:w="100"/>
            </w:tcMar>
            <w:vAlign w:val="center"/>
          </w:tcPr>
          <w:p>
            <w:r>
              <w:rPr>
                <w:b w:val="false"/>
                <w:bCs w:val="false"/>
                <w:sz w:val="20"/>
                <w:szCs w:val="20"/>
              </w:rPr>
              <w:t xml:space="preserve">13.67%</w:t>
            </w:r>
          </w:p>
        </w:tc>
      </w:tr>
      <w:tr>
        <w:tc>
          <w:tcPr>
            <w:tcW w:type="dxa" w:w="2600"/>
            <w:tcMar>
              <w:top w:type="dxa" w:w="80"/>
              <w:left w:type="dxa" w:w="100"/>
              <w:bottom w:type="dxa" w:w="80"/>
              <w:right w:type="dxa" w:w="100"/>
            </w:tcMar>
            <w:vAlign w:val="center"/>
          </w:tcPr>
          <w:p>
            <w:r>
              <w:rPr>
                <w:b w:val="false"/>
                <w:bCs w:val="false"/>
                <w:sz w:val="20"/>
                <w:szCs w:val="20"/>
              </w:rPr>
              <w:t xml:space="preserve">ALCOHOL</w:t>
            </w:r>
          </w:p>
        </w:tc>
        <w:tc>
          <w:tcPr>
            <w:tcW w:type="dxa" w:w="2200"/>
            <w:tcMar>
              <w:top w:type="dxa" w:w="80"/>
              <w:left w:type="dxa" w:w="100"/>
              <w:bottom w:type="dxa" w:w="80"/>
              <w:right w:type="dxa" w:w="100"/>
            </w:tcMar>
            <w:vAlign w:val="center"/>
          </w:tcPr>
          <w:p>
            <w:r>
              <w:rPr>
                <w:b w:val="false"/>
                <w:bCs w:val="false"/>
                <w:sz w:val="20"/>
                <w:szCs w:val="20"/>
              </w:rPr>
              <w:t xml:space="preserve">4.26%</w:t>
            </w:r>
          </w:p>
        </w:tc>
        <w:tc>
          <w:tcPr>
            <w:tcW w:type="dxa" w:w="2200"/>
            <w:tcMar>
              <w:top w:type="dxa" w:w="80"/>
              <w:left w:type="dxa" w:w="100"/>
              <w:bottom w:type="dxa" w:w="80"/>
              <w:right w:type="dxa" w:w="100"/>
            </w:tcMar>
            <w:vAlign w:val="center"/>
          </w:tcPr>
          <w:p>
            <w:r>
              <w:rPr>
                <w:b w:val="false"/>
                <w:bCs w:val="false"/>
                <w:sz w:val="20"/>
                <w:szCs w:val="20"/>
              </w:rPr>
              <w:t xml:space="preserve">18.81%</w:t>
            </w:r>
          </w:p>
        </w:tc>
        <w:tc>
          <w:tcPr>
            <w:tcW w:type="dxa" w:w="2200"/>
            <w:tcMar>
              <w:top w:type="dxa" w:w="80"/>
              <w:left w:type="dxa" w:w="100"/>
              <w:bottom w:type="dxa" w:w="80"/>
              <w:right w:type="dxa" w:w="100"/>
            </w:tcMar>
            <w:vAlign w:val="center"/>
          </w:tcPr>
          <w:p>
            <w:r>
              <w:rPr>
                <w:b w:val="false"/>
                <w:bCs w:val="false"/>
                <w:sz w:val="20"/>
                <w:szCs w:val="20"/>
              </w:rPr>
              <w:t xml:space="preserve">13.87%</w:t>
            </w:r>
          </w:p>
        </w:tc>
      </w:tr>
      <w:tr>
        <w:tc>
          <w:tcPr>
            <w:tcW w:type="dxa" w:w="2600"/>
            <w:tcMar>
              <w:top w:type="dxa" w:w="80"/>
              <w:left w:type="dxa" w:w="100"/>
              <w:bottom w:type="dxa" w:w="80"/>
              <w:right w:type="dxa" w:w="100"/>
            </w:tcMar>
            <w:vAlign w:val="center"/>
          </w:tcPr>
          <w:p>
            <w:r>
              <w:rPr>
                <w:b w:val="false"/>
                <w:bCs w:val="false"/>
                <w:sz w:val="20"/>
                <w:szCs w:val="20"/>
              </w:rPr>
              <w:t xml:space="preserve">PEDESTRIAN</w:t>
            </w:r>
          </w:p>
        </w:tc>
        <w:tc>
          <w:tcPr>
            <w:tcW w:type="dxa" w:w="2200"/>
            <w:tcMar>
              <w:top w:type="dxa" w:w="80"/>
              <w:left w:type="dxa" w:w="100"/>
              <w:bottom w:type="dxa" w:w="80"/>
              <w:right w:type="dxa" w:w="100"/>
            </w:tcMar>
            <w:vAlign w:val="center"/>
          </w:tcPr>
          <w:p>
            <w:r>
              <w:rPr>
                <w:b w:val="false"/>
                <w:bCs w:val="false"/>
                <w:sz w:val="20"/>
                <w:szCs w:val="20"/>
              </w:rPr>
              <w:t xml:space="preserve">40.56%</w:t>
            </w:r>
          </w:p>
        </w:tc>
        <w:tc>
          <w:tcPr>
            <w:tcW w:type="dxa" w:w="2200"/>
            <w:tcMar>
              <w:top w:type="dxa" w:w="80"/>
              <w:left w:type="dxa" w:w="100"/>
              <w:bottom w:type="dxa" w:w="80"/>
              <w:right w:type="dxa" w:w="100"/>
            </w:tcMar>
            <w:vAlign w:val="center"/>
          </w:tcPr>
          <w:p>
            <w:r>
              <w:rPr>
                <w:b w:val="false"/>
                <w:bCs w:val="false"/>
                <w:sz w:val="20"/>
                <w:szCs w:val="20"/>
              </w:rPr>
              <w:t xml:space="preserve">18.26%</w:t>
            </w:r>
          </w:p>
        </w:tc>
        <w:tc>
          <w:tcPr>
            <w:tcW w:type="dxa" w:w="2200"/>
            <w:tcMar>
              <w:top w:type="dxa" w:w="80"/>
              <w:left w:type="dxa" w:w="100"/>
              <w:bottom w:type="dxa" w:w="80"/>
              <w:right w:type="dxa" w:w="100"/>
            </w:tcMar>
            <w:vAlign w:val="center"/>
          </w:tcPr>
          <w:p>
            <w:r>
              <w:rPr>
                <w:b w:val="false"/>
                <w:bCs w:val="false"/>
                <w:sz w:val="20"/>
                <w:szCs w:val="20"/>
              </w:rPr>
              <w:t xml:space="preserve">11.24%</w:t>
            </w:r>
          </w:p>
        </w:tc>
      </w:tr>
      <w:tr>
        <w:tc>
          <w:tcPr>
            <w:tcW w:type="dxa" w:w="2600"/>
            <w:tcMar>
              <w:top w:type="dxa" w:w="80"/>
              <w:left w:type="dxa" w:w="100"/>
              <w:bottom w:type="dxa" w:w="80"/>
              <w:right w:type="dxa" w:w="100"/>
            </w:tcMar>
            <w:vAlign w:val="center"/>
          </w:tcPr>
          <w:p>
            <w:r>
              <w:rPr>
                <w:b w:val="false"/>
                <w:bCs w:val="false"/>
                <w:sz w:val="20"/>
                <w:szCs w:val="20"/>
              </w:rPr>
              <w:t xml:space="preserve">PASSENGER</w:t>
            </w:r>
          </w:p>
        </w:tc>
        <w:tc>
          <w:tcPr>
            <w:tcW w:type="dxa" w:w="2200"/>
            <w:tcMar>
              <w:top w:type="dxa" w:w="80"/>
              <w:left w:type="dxa" w:w="100"/>
              <w:bottom w:type="dxa" w:w="80"/>
              <w:right w:type="dxa" w:w="100"/>
            </w:tcMar>
            <w:vAlign w:val="center"/>
          </w:tcPr>
          <w:p>
            <w:r>
              <w:rPr>
                <w:b w:val="false"/>
                <w:bCs w:val="false"/>
                <w:sz w:val="20"/>
                <w:szCs w:val="20"/>
              </w:rPr>
              <w:t xml:space="preserve">37.89%</w:t>
            </w:r>
          </w:p>
        </w:tc>
        <w:tc>
          <w:tcPr>
            <w:tcW w:type="dxa" w:w="2200"/>
            <w:tcMar>
              <w:top w:type="dxa" w:w="80"/>
              <w:left w:type="dxa" w:w="100"/>
              <w:bottom w:type="dxa" w:w="80"/>
              <w:right w:type="dxa" w:w="100"/>
            </w:tcMar>
            <w:vAlign w:val="center"/>
          </w:tcPr>
          <w:p>
            <w:r>
              <w:rPr>
                <w:b w:val="false"/>
                <w:bCs w:val="false"/>
                <w:sz w:val="20"/>
                <w:szCs w:val="20"/>
              </w:rPr>
              <w:t xml:space="preserve">13.91%</w:t>
            </w:r>
          </w:p>
        </w:tc>
        <w:tc>
          <w:tcPr>
            <w:tcW w:type="dxa" w:w="2200"/>
            <w:tcMar>
              <w:top w:type="dxa" w:w="80"/>
              <w:left w:type="dxa" w:w="100"/>
              <w:bottom w:type="dxa" w:w="80"/>
              <w:right w:type="dxa" w:w="100"/>
            </w:tcMar>
            <w:vAlign w:val="center"/>
          </w:tcPr>
          <w:p>
            <w:r>
              <w:rPr>
                <w:b w:val="false"/>
                <w:bCs w:val="false"/>
                <w:sz w:val="20"/>
                <w:szCs w:val="20"/>
              </w:rPr>
              <w:t xml:space="preserve">14.19%</w:t>
            </w:r>
          </w:p>
        </w:tc>
      </w:tr>
      <w:tr>
        <w:tc>
          <w:tcPr>
            <w:tcW w:type="dxa" w:w="2600"/>
            <w:tcMar>
              <w:top w:type="dxa" w:w="80"/>
              <w:left w:type="dxa" w:w="100"/>
              <w:bottom w:type="dxa" w:w="80"/>
              <w:right w:type="dxa" w:w="100"/>
            </w:tcMar>
            <w:vAlign w:val="center"/>
          </w:tcPr>
          <w:p>
            <w:r>
              <w:rPr>
                <w:b w:val="false"/>
                <w:bCs w:val="false"/>
                <w:sz w:val="20"/>
                <w:szCs w:val="20"/>
              </w:rPr>
              <w:t xml:space="preserve">MOTORCYCLE</w:t>
            </w:r>
          </w:p>
        </w:tc>
        <w:tc>
          <w:tcPr>
            <w:tcW w:type="dxa" w:w="2200"/>
            <w:tcMar>
              <w:top w:type="dxa" w:w="80"/>
              <w:left w:type="dxa" w:w="100"/>
              <w:bottom w:type="dxa" w:w="80"/>
              <w:right w:type="dxa" w:w="100"/>
            </w:tcMar>
            <w:vAlign w:val="center"/>
          </w:tcPr>
          <w:p>
            <w:r>
              <w:rPr>
                <w:b w:val="false"/>
                <w:bCs w:val="false"/>
                <w:sz w:val="20"/>
                <w:szCs w:val="20"/>
              </w:rPr>
              <w:t xml:space="preserve">8.88%</w:t>
            </w:r>
          </w:p>
        </w:tc>
        <w:tc>
          <w:tcPr>
            <w:tcW w:type="dxa" w:w="2200"/>
            <w:tcMar>
              <w:top w:type="dxa" w:w="80"/>
              <w:left w:type="dxa" w:w="100"/>
              <w:bottom w:type="dxa" w:w="80"/>
              <w:right w:type="dxa" w:w="100"/>
            </w:tcMar>
            <w:vAlign w:val="center"/>
          </w:tcPr>
          <w:p>
            <w:r>
              <w:rPr>
                <w:b w:val="false"/>
                <w:bCs w:val="false"/>
                <w:sz w:val="20"/>
                <w:szCs w:val="20"/>
              </w:rPr>
              <w:t xml:space="preserve">13.48%</w:t>
            </w:r>
          </w:p>
        </w:tc>
        <w:tc>
          <w:tcPr>
            <w:tcW w:type="dxa" w:w="2200"/>
            <w:tcMar>
              <w:top w:type="dxa" w:w="80"/>
              <w:left w:type="dxa" w:w="100"/>
              <w:bottom w:type="dxa" w:w="80"/>
              <w:right w:type="dxa" w:w="100"/>
            </w:tcMar>
            <w:vAlign w:val="center"/>
          </w:tcPr>
          <w:p>
            <w:r>
              <w:rPr>
                <w:b w:val="false"/>
                <w:bCs w:val="false"/>
                <w:sz w:val="20"/>
                <w:szCs w:val="20"/>
              </w:rPr>
              <w:t xml:space="preserve">14.14%</w:t>
            </w:r>
          </w:p>
        </w:tc>
      </w:tr>
      <w:tr>
        <w:tc>
          <w:tcPr>
            <w:tcW w:type="dxa" w:w="2600"/>
            <w:tcMar>
              <w:top w:type="dxa" w:w="80"/>
              <w:left w:type="dxa" w:w="100"/>
              <w:bottom w:type="dxa" w:w="80"/>
              <w:right w:type="dxa" w:w="100"/>
            </w:tcMar>
            <w:vAlign w:val="center"/>
          </w:tcPr>
          <w:p>
            <w:r>
              <w:rPr>
                <w:b w:val="false"/>
                <w:bCs w:val="false"/>
                <w:sz w:val="20"/>
                <w:szCs w:val="20"/>
              </w:rPr>
              <w:t xml:space="preserve">REDLIGHT</w:t>
            </w:r>
          </w:p>
        </w:tc>
        <w:tc>
          <w:tcPr>
            <w:tcW w:type="dxa" w:w="2200"/>
            <w:tcMar>
              <w:top w:type="dxa" w:w="80"/>
              <w:left w:type="dxa" w:w="100"/>
              <w:bottom w:type="dxa" w:w="80"/>
              <w:right w:type="dxa" w:w="100"/>
            </w:tcMar>
            <w:vAlign w:val="center"/>
          </w:tcPr>
          <w:p>
            <w:r>
              <w:rPr>
                <w:b w:val="false"/>
                <w:bCs w:val="false"/>
                <w:sz w:val="20"/>
                <w:szCs w:val="20"/>
              </w:rPr>
              <w:t xml:space="preserve">8.32%</w:t>
            </w:r>
          </w:p>
        </w:tc>
        <w:tc>
          <w:tcPr>
            <w:tcW w:type="dxa" w:w="2200"/>
            <w:tcMar>
              <w:top w:type="dxa" w:w="80"/>
              <w:left w:type="dxa" w:w="100"/>
              <w:bottom w:type="dxa" w:w="80"/>
              <w:right w:type="dxa" w:w="100"/>
            </w:tcMar>
            <w:vAlign w:val="center"/>
          </w:tcPr>
          <w:p>
            <w:r>
              <w:rPr>
                <w:b w:val="false"/>
                <w:bCs w:val="false"/>
                <w:sz w:val="20"/>
                <w:szCs w:val="20"/>
              </w:rPr>
              <w:t xml:space="preserve">13.38%</w:t>
            </w:r>
          </w:p>
        </w:tc>
        <w:tc>
          <w:tcPr>
            <w:tcW w:type="dxa" w:w="2200"/>
            <w:tcMar>
              <w:top w:type="dxa" w:w="80"/>
              <w:left w:type="dxa" w:w="100"/>
              <w:bottom w:type="dxa" w:w="80"/>
              <w:right w:type="dxa" w:w="100"/>
            </w:tcMar>
            <w:vAlign w:val="center"/>
          </w:tcPr>
          <w:p>
            <w:r>
              <w:rPr>
                <w:b w:val="false"/>
                <w:bCs w:val="false"/>
                <w:sz w:val="20"/>
                <w:szCs w:val="20"/>
              </w:rPr>
              <w:t xml:space="preserve">14.15%</w:t>
            </w:r>
          </w:p>
        </w:tc>
      </w:tr>
      <w:tr>
        <w:tc>
          <w:tcPr>
            <w:tcW w:type="dxa" w:w="2600"/>
            <w:tcMar>
              <w:top w:type="dxa" w:w="80"/>
              <w:left w:type="dxa" w:w="100"/>
              <w:bottom w:type="dxa" w:w="80"/>
              <w:right w:type="dxa" w:w="100"/>
            </w:tcMar>
            <w:vAlign w:val="center"/>
          </w:tcPr>
          <w:p>
            <w:r>
              <w:rPr>
                <w:b w:val="false"/>
                <w:bCs w:val="false"/>
                <w:sz w:val="20"/>
                <w:szCs w:val="20"/>
              </w:rPr>
              <w:t xml:space="preserve">AUTOMOBILE</w:t>
            </w:r>
          </w:p>
        </w:tc>
        <w:tc>
          <w:tcPr>
            <w:tcW w:type="dxa" w:w="2200"/>
            <w:tcMar>
              <w:top w:type="dxa" w:w="80"/>
              <w:left w:type="dxa" w:w="100"/>
              <w:bottom w:type="dxa" w:w="80"/>
              <w:right w:type="dxa" w:w="100"/>
            </w:tcMar>
            <w:vAlign w:val="center"/>
          </w:tcPr>
          <w:p>
            <w:r>
              <w:rPr>
                <w:b w:val="false"/>
                <w:bCs w:val="false"/>
                <w:sz w:val="20"/>
                <w:szCs w:val="20"/>
              </w:rPr>
              <w:t xml:space="preserve">90.89%</w:t>
            </w:r>
          </w:p>
        </w:tc>
        <w:tc>
          <w:tcPr>
            <w:tcW w:type="dxa" w:w="2200"/>
            <w:tcMar>
              <w:top w:type="dxa" w:w="80"/>
              <w:left w:type="dxa" w:w="100"/>
              <w:bottom w:type="dxa" w:w="80"/>
              <w:right w:type="dxa" w:w="100"/>
            </w:tcMar>
            <w:vAlign w:val="center"/>
          </w:tcPr>
          <w:p>
            <w:r>
              <w:rPr>
                <w:b w:val="false"/>
                <w:bCs w:val="false"/>
                <w:sz w:val="20"/>
                <w:szCs w:val="20"/>
              </w:rPr>
              <w:t xml:space="preserve">13.26%</w:t>
            </w:r>
          </w:p>
        </w:tc>
        <w:tc>
          <w:tcPr>
            <w:tcW w:type="dxa" w:w="2200"/>
            <w:tcMar>
              <w:top w:type="dxa" w:w="80"/>
              <w:left w:type="dxa" w:w="100"/>
              <w:bottom w:type="dxa" w:w="80"/>
              <w:right w:type="dxa" w:w="100"/>
            </w:tcMar>
            <w:vAlign w:val="center"/>
          </w:tcPr>
          <w:p>
            <w:r>
              <w:rPr>
                <w:b w:val="false"/>
                <w:bCs w:val="false"/>
                <w:sz w:val="20"/>
                <w:szCs w:val="20"/>
              </w:rPr>
              <w:t xml:space="preserve">22.29%</w:t>
            </w:r>
          </w:p>
        </w:tc>
      </w:tr>
      <w:tr>
        <w:tc>
          <w:tcPr>
            <w:tcW w:type="dxa" w:w="2600"/>
            <w:tcMar>
              <w:top w:type="dxa" w:w="80"/>
              <w:left w:type="dxa" w:w="100"/>
              <w:bottom w:type="dxa" w:w="80"/>
              <w:right w:type="dxa" w:w="100"/>
            </w:tcMar>
            <w:vAlign w:val="center"/>
          </w:tcPr>
          <w:p>
            <w:r>
              <w:rPr>
                <w:b w:val="false"/>
                <w:bCs w:val="false"/>
                <w:sz w:val="20"/>
                <w:szCs w:val="20"/>
              </w:rPr>
              <w:t xml:space="preserve">AG_DRIV</w:t>
            </w:r>
          </w:p>
        </w:tc>
        <w:tc>
          <w:tcPr>
            <w:tcW w:type="dxa" w:w="2200"/>
            <w:tcMar>
              <w:top w:type="dxa" w:w="80"/>
              <w:left w:type="dxa" w:w="100"/>
              <w:bottom w:type="dxa" w:w="80"/>
              <w:right w:type="dxa" w:w="100"/>
            </w:tcMar>
            <w:vAlign w:val="center"/>
          </w:tcPr>
          <w:p>
            <w:r>
              <w:rPr>
                <w:b w:val="false"/>
                <w:bCs w:val="false"/>
                <w:sz w:val="20"/>
                <w:szCs w:val="20"/>
              </w:rPr>
              <w:t xml:space="preserve">51.88%</w:t>
            </w:r>
          </w:p>
        </w:tc>
        <w:tc>
          <w:tcPr>
            <w:tcW w:type="dxa" w:w="2200"/>
            <w:tcMar>
              <w:top w:type="dxa" w:w="80"/>
              <w:left w:type="dxa" w:w="100"/>
              <w:bottom w:type="dxa" w:w="80"/>
              <w:right w:type="dxa" w:w="100"/>
            </w:tcMar>
            <w:vAlign w:val="center"/>
          </w:tcPr>
          <w:p>
            <w:r>
              <w:rPr>
                <w:b w:val="false"/>
                <w:bCs w:val="false"/>
                <w:sz w:val="20"/>
                <w:szCs w:val="20"/>
              </w:rPr>
              <w:t xml:space="preserve">12.98%</w:t>
            </w:r>
          </w:p>
        </w:tc>
        <w:tc>
          <w:tcPr>
            <w:tcW w:type="dxa" w:w="2200"/>
            <w:tcMar>
              <w:top w:type="dxa" w:w="80"/>
              <w:left w:type="dxa" w:w="100"/>
              <w:bottom w:type="dxa" w:w="80"/>
              <w:right w:type="dxa" w:w="100"/>
            </w:tcMar>
            <w:vAlign w:val="center"/>
          </w:tcPr>
          <w:p>
            <w:r>
              <w:rPr>
                <w:b w:val="false"/>
                <w:bCs w:val="false"/>
                <w:sz w:val="20"/>
                <w:szCs w:val="20"/>
              </w:rPr>
              <w:t xml:space="preserve">15.27%</w:t>
            </w:r>
          </w:p>
        </w:tc>
      </w:tr>
      <w:tr>
        <w:tc>
          <w:tcPr>
            <w:tcW w:type="dxa" w:w="2600"/>
            <w:tcMar>
              <w:top w:type="dxa" w:w="80"/>
              <w:left w:type="dxa" w:w="100"/>
              <w:bottom w:type="dxa" w:w="80"/>
              <w:right w:type="dxa" w:w="100"/>
            </w:tcMar>
            <w:vAlign w:val="center"/>
          </w:tcPr>
          <w:p>
            <w:r>
              <w:rPr>
                <w:b w:val="false"/>
                <w:bCs w:val="false"/>
                <w:sz w:val="20"/>
                <w:szCs w:val="20"/>
              </w:rPr>
              <w:t xml:space="preserve">DISABILITY</w:t>
            </w:r>
          </w:p>
        </w:tc>
        <w:tc>
          <w:tcPr>
            <w:tcW w:type="dxa" w:w="2200"/>
            <w:tcMar>
              <w:top w:type="dxa" w:w="80"/>
              <w:left w:type="dxa" w:w="100"/>
              <w:bottom w:type="dxa" w:w="80"/>
              <w:right w:type="dxa" w:w="100"/>
            </w:tcMar>
            <w:vAlign w:val="center"/>
          </w:tcPr>
          <w:p>
            <w:r>
              <w:rPr>
                <w:b w:val="false"/>
                <w:bCs w:val="false"/>
                <w:sz w:val="20"/>
                <w:szCs w:val="20"/>
              </w:rPr>
              <w:t xml:space="preserve">2.60%</w:t>
            </w:r>
          </w:p>
        </w:tc>
        <w:tc>
          <w:tcPr>
            <w:tcW w:type="dxa" w:w="2200"/>
            <w:tcMar>
              <w:top w:type="dxa" w:w="80"/>
              <w:left w:type="dxa" w:w="100"/>
              <w:bottom w:type="dxa" w:w="80"/>
              <w:right w:type="dxa" w:w="100"/>
            </w:tcMar>
            <w:vAlign w:val="center"/>
          </w:tcPr>
          <w:p>
            <w:r>
              <w:rPr>
                <w:b w:val="false"/>
                <w:bCs w:val="false"/>
                <w:sz w:val="20"/>
                <w:szCs w:val="20"/>
              </w:rPr>
              <w:t xml:space="preserve">12.60%</w:t>
            </w:r>
          </w:p>
        </w:tc>
        <w:tc>
          <w:tcPr>
            <w:tcW w:type="dxa" w:w="2200"/>
            <w:tcMar>
              <w:top w:type="dxa" w:w="80"/>
              <w:left w:type="dxa" w:w="100"/>
              <w:bottom w:type="dxa" w:w="80"/>
              <w:right w:type="dxa" w:w="100"/>
            </w:tcMar>
            <w:vAlign w:val="center"/>
          </w:tcPr>
          <w:p>
            <w:r>
              <w:rPr>
                <w:b w:val="false"/>
                <w:bCs w:val="false"/>
                <w:sz w:val="20"/>
                <w:szCs w:val="20"/>
              </w:rPr>
              <w:t xml:space="preserve">14.12%</w:t>
            </w:r>
          </w:p>
        </w:tc>
      </w:tr>
      <w:tr>
        <w:tc>
          <w:tcPr>
            <w:tcW w:type="dxa" w:w="2600"/>
            <w:tcMar>
              <w:top w:type="dxa" w:w="80"/>
              <w:left w:type="dxa" w:w="100"/>
              <w:bottom w:type="dxa" w:w="80"/>
              <w:right w:type="dxa" w:w="100"/>
            </w:tcMar>
            <w:vAlign w:val="center"/>
          </w:tcPr>
          <w:p>
            <w:r>
              <w:rPr>
                <w:b w:val="false"/>
                <w:bCs w:val="false"/>
                <w:sz w:val="20"/>
                <w:szCs w:val="20"/>
              </w:rPr>
              <w:t xml:space="preserve">CYCLIST</w:t>
            </w:r>
          </w:p>
        </w:tc>
        <w:tc>
          <w:tcPr>
            <w:tcW w:type="dxa" w:w="2200"/>
            <w:tcMar>
              <w:top w:type="dxa" w:w="80"/>
              <w:left w:type="dxa" w:w="100"/>
              <w:bottom w:type="dxa" w:w="80"/>
              <w:right w:type="dxa" w:w="100"/>
            </w:tcMar>
            <w:vAlign w:val="center"/>
          </w:tcPr>
          <w:p>
            <w:r>
              <w:rPr>
                <w:b w:val="false"/>
                <w:bCs w:val="false"/>
                <w:sz w:val="20"/>
                <w:szCs w:val="20"/>
              </w:rPr>
              <w:t xml:space="preserve">10.48%</w:t>
            </w:r>
          </w:p>
        </w:tc>
        <w:tc>
          <w:tcPr>
            <w:tcW w:type="dxa" w:w="2200"/>
            <w:tcMar>
              <w:top w:type="dxa" w:w="80"/>
              <w:left w:type="dxa" w:w="100"/>
              <w:bottom w:type="dxa" w:w="80"/>
              <w:right w:type="dxa" w:w="100"/>
            </w:tcMar>
            <w:vAlign w:val="center"/>
          </w:tcPr>
          <w:p>
            <w:r>
              <w:rPr>
                <w:b w:val="false"/>
                <w:bCs w:val="false"/>
                <w:sz w:val="20"/>
                <w:szCs w:val="20"/>
              </w:rPr>
              <w:t xml:space="preserve">6.45%</w:t>
            </w:r>
          </w:p>
        </w:tc>
        <w:tc>
          <w:tcPr>
            <w:tcW w:type="dxa" w:w="2200"/>
            <w:tcMar>
              <w:top w:type="dxa" w:w="80"/>
              <w:left w:type="dxa" w:w="100"/>
              <w:bottom w:type="dxa" w:w="80"/>
              <w:right w:type="dxa" w:w="100"/>
            </w:tcMar>
            <w:vAlign w:val="center"/>
          </w:tcPr>
          <w:p>
            <w:r>
              <w:rPr>
                <w:b w:val="false"/>
                <w:bCs w:val="false"/>
                <w:sz w:val="20"/>
                <w:szCs w:val="20"/>
              </w:rPr>
              <w:t xml:space="preserve">14.98%</w:t>
            </w:r>
          </w:p>
        </w:tc>
      </w:tr>
      <w:tr>
        <w:tc>
          <w:tcPr>
            <w:tcW w:type="dxa" w:w="2600"/>
            <w:tcMar>
              <w:top w:type="dxa" w:w="80"/>
              <w:left w:type="dxa" w:w="100"/>
              <w:bottom w:type="dxa" w:w="80"/>
              <w:right w:type="dxa" w:w="100"/>
            </w:tcMar>
            <w:vAlign w:val="center"/>
          </w:tcPr>
          <w:p>
            <w:r>
              <w:rPr>
                <w:b w:val="false"/>
                <w:bCs w:val="false"/>
                <w:sz w:val="20"/>
                <w:szCs w:val="20"/>
              </w:rPr>
              <w:t xml:space="preserve">EMERG_VEH</w:t>
            </w:r>
          </w:p>
        </w:tc>
        <w:tc>
          <w:tcPr>
            <w:tcW w:type="dxa" w:w="2200"/>
            <w:tcMar>
              <w:top w:type="dxa" w:w="80"/>
              <w:left w:type="dxa" w:w="100"/>
              <w:bottom w:type="dxa" w:w="80"/>
              <w:right w:type="dxa" w:w="100"/>
            </w:tcMar>
            <w:vAlign w:val="center"/>
          </w:tcPr>
          <w:p>
            <w:r>
              <w:rPr>
                <w:b w:val="false"/>
                <w:bCs w:val="false"/>
                <w:sz w:val="20"/>
                <w:szCs w:val="20"/>
              </w:rPr>
              <w:t xml:space="preserve">0.26%</w:t>
            </w:r>
          </w:p>
        </w:tc>
        <w:tc>
          <w:tcPr>
            <w:tcW w:type="dxa" w:w="2200"/>
            <w:tcMar>
              <w:top w:type="dxa" w:w="80"/>
              <w:left w:type="dxa" w:w="100"/>
              <w:bottom w:type="dxa" w:w="80"/>
              <w:right w:type="dxa" w:w="100"/>
            </w:tcMar>
            <w:vAlign w:val="center"/>
          </w:tcPr>
          <w:p>
            <w:r>
              <w:rPr>
                <w:b w:val="false"/>
                <w:bCs w:val="false"/>
                <w:sz w:val="20"/>
                <w:szCs w:val="20"/>
              </w:rPr>
              <w:t xml:space="preserve">4.08%</w:t>
            </w:r>
          </w:p>
        </w:tc>
        <w:tc>
          <w:tcPr>
            <w:tcW w:type="dxa" w:w="2200"/>
            <w:tcMar>
              <w:top w:type="dxa" w:w="80"/>
              <w:left w:type="dxa" w:w="100"/>
              <w:bottom w:type="dxa" w:w="80"/>
              <w:right w:type="dxa" w:w="100"/>
            </w:tcMar>
            <w:vAlign w:val="center"/>
          </w:tcPr>
          <w:p>
            <w:r>
              <w:rPr>
                <w:b w:val="false"/>
                <w:bCs w:val="false"/>
                <w:sz w:val="20"/>
                <w:szCs w:val="20"/>
              </w:rPr>
              <w:t xml:space="preserve">14.11%</w:t>
            </w:r>
          </w:p>
        </w:tc>
      </w:tr>
    </w:tbl>
    <w:p>
      <w:pPr>
        <w:spacing w:after="200"/>
      </w:pP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276600"/>
                    </a:xfrm>
                    <a:prstGeom prst="rect">
                      <a:avLst/>
                    </a:prstGeom>
                  </pic:spPr>
                </pic:pic>
              </a:graphicData>
            </a:graphic>
          </wp:inline>
        </w:drawing>
      </w:r>
    </w:p>
    <w:p>
      <w:pPr>
        <w:spacing w:after="200"/>
      </w:pPr>
    </w:p>
    <w:p>
      <w:pPr>
        <w:spacing w:after="150"/>
      </w:pPr>
      <w:r>
        <w:t xml:space="preserve">Findings: Collisions involving a truck, speeding, a transit/city vehicle, or alcohol show a noticeably higher fatal rate than the 14.09% baseline (truck collisions are more than double). Pedestrian involvement also raises the fatal rate. Cyclist and emergency-vehicle involvement show a lower fatal rate than baseline in this single-variable view — likely reflecting lower speeds or more cautious circumstances rather than cycling being inherently safer; this needs further investigation once other variables are controlled for. AUTOMOBILE is Yes for 91% of records, so its “fatal rate if No” (22.29%) is based on a small, atypical subset and should be read cautiously. These are single-variable comparisons — real feature-importance analysis happens during model building (Part 2).</w:t>
      </w:r>
    </w:p>
    <w:p>
      <w:pPr>
        <w:pStyle w:val="Heading1"/>
        <w:spacing w:after="200" w:before="400"/>
      </w:pPr>
      <w:r>
        <w:t xml:space="preserve">Feature Selection</w:t>
      </w:r>
    </w:p>
    <w:p>
      <w:pPr>
        <w:spacing w:after="150"/>
      </w:pPr>
      <w:r>
        <w:t xml:space="preserve">Dropped as identifiers or redundant, no predictive value: INDEX, ACCNUM, OBJECTID (record/event identifiers), OFFSET (location-precision detail with no standalone meaning), HOOD_140 and NEIGHBOURHOOD_140 (older duplicates of HOOD_158 / NEIGHBOURHOOD_158), and x / y (projected duplicates of LATITUDE / LONGITUDE).</w:t>
      </w:r>
    </w:p>
    <w:p>
      <w:pPr>
        <w:spacing w:after="150"/>
      </w:pPr>
      <w:r>
        <w:t xml:space="preserve">Dropped as data leakage: FATAL_NO is only populated when the specific person died, so its presence directly reveals the target and cannot be used as a feature.</w:t>
      </w:r>
    </w:p>
    <w:p>
      <w:pPr>
        <w:spacing w:after="150"/>
      </w:pPr>
      <w:r>
        <w:t xml:space="preserve">Dropped as too high-cardinality to encode sensibly: STREET1 (1,942 unique values) and STREET2 (2,821 unique values) — DISTRICT and NEIGHBOURHOOD_158 already capture location at a usable granularity. DATE and TIME were replaced by an engineered HOUR feature (0-23, derived from TIME) rather than used raw, since TIME alone (1,341 unique values) is too granular and DATE (4,128 unique values) even more so.</w:t>
      </w:r>
    </w:p>
    <w:p>
      <w:pPr>
        <w:spacing w:after="150"/>
      </w:pPr>
      <w:r>
        <w:t xml:space="preserve">Dropped as structurally missing and redundant: PEDTYPE, PEDACT, PEDCOND (~83% missing) and CYCLISTYPE, CYCACT, CYCCOND (~96% missing) only apply to pedestrian or cyclist records respectively — not missing at random, simply not applicable to other rows. Group 3's PEDESTRIAN / CYCLIST flags already capture whether those involvement types were present in a given record, so these columns were excluded rather than risk imputing meaningless values onto rows they don't apply to.</w:t>
      </w:r>
    </w:p>
    <w:p>
      <w:pPr>
        <w:spacing w:after="150"/>
      </w:pPr>
      <w:r>
        <w:t xml:space="preserve">Kept: all remaining columns listed under Data Exploration above. Group 3's 13 flag columns are low-cardinality (Yes/blank) and clean — one-hot encoded as-is. Group 1 and Group 2's remaining columns are moderate cardinality with real signal relative to the target, per the fatal-rate breakdowns above.</w:t>
      </w:r>
    </w:p>
    <w:p>
      <w:pPr>
        <w:pStyle w:val="Heading1"/>
        <w:spacing w:after="200" w:before="400"/>
      </w:pPr>
      <w:r>
        <w:t xml:space="preserve">Data Modelling</w:t>
      </w:r>
    </w:p>
    <w:p>
      <w:pPr>
        <w:spacing w:after="150"/>
      </w:pPr>
      <w:r>
        <w:t xml:space="preserve">Cleaning strategy: rows with a blank ACCLASS (no usable label) were dropped. Identifier, leakage, high-cardinality, and structurally-missing redundant columns (see Feature Selection) were dropped before encoding.</w:t>
      </w:r>
    </w:p>
    <w:p>
      <w:pPr>
        <w:spacing w:after="150"/>
      </w:pPr>
      <w:r>
        <w:t xml:space="preserve">Data wrangling / pipeline: built with scikit-learn's Pipeline and ColumnTransformer. Categorical columns are imputed with the most frequent value and one-hot encoded; numeric columns (LATITUDE, LONGITUDE, and the engineered HOUR feature) are median-imputed and standard-scaled. Train/test split: 80/20, stratified on the target to preserve the fatal/non-fatal ratio in both sets. Verified working end-to-end: 15,164 training rows / 3,792 test rows, 373 features after encoding, train-set class balance matching the overall 14.09% fatal rate.</w:t>
      </w:r>
    </w:p>
    <w:p>
      <w:pPr>
        <w:spacing w:after="150"/>
      </w:pPr>
      <w:r>
        <w:t xml:space="preserve">Class imbalance: the fatal class is roughly 14% of records — a real but moderate imbalance. Planned handling for Part 2: try class_weight=’balanced’ on the classifier first (simplest option); fall back to SMOTE (imbalanced-learn) if recall on the fatal class isn’t high enough.</w:t>
      </w:r>
    </w:p>
    <w:p>
      <w:pPr>
        <w:spacing w:after="150"/>
      </w:pPr>
      <w:r>
        <w:t xml:space="preserve">Assumptions and constraints: (1) Property Damage Only and Non-Fatal Injury rows are both treated as the negative (non-fatal) class, since the project's objective is specifically predicting fatal outcomes. (2) Location fields are deliberately offset to the nearest intersection for privacy, so exact-address-level analysis isn't possible. (3) The dataset is per-person, not per-collision — the group discussed aggregating to one row per collision (since the assignment asks whether "the incident" would be fatal, not whether a person is), but this was not implemented for Part 1 given the time available; it remains a candidate improvement for Part 2. (4) The assignment document references 2006–2020 coverage; the portal now serves 2006–2023 (dataset updated since the assignment was written). (5) Group 1's section was completed by Aidan after Aboud did not submit analysis by the internal deadline; Group 2's section was submitted directly by Ibrahim. See the Team &amp; Roles note in the project README for the full timeline.</w:t>
      </w:r>
    </w:p>
    <w:p>
      <w:pPr>
        <w:pStyle w:val="Heading1"/>
        <w:spacing w:after="200" w:before="400"/>
      </w:pPr>
      <w:r>
        <w:t xml:space="preserve">Next Steps (Part 2)</w:t>
      </w:r>
    </w:p>
    <w:p>
      <w:pPr>
        <w:pStyle w:val="ListParagraph"/>
        <w:numPr>
          <w:ilvl w:val="0"/>
          <w:numId w:val="1"/>
        </w:numPr>
        <w:spacing w:after="80"/>
      </w:pPr>
      <w:r>
        <w:t xml:space="preserve">Revisit per-collision aggregation (vs. current per-person rows) as a potential modelling improvement</w:t>
      </w:r>
    </w:p>
    <w:p>
      <w:pPr>
        <w:pStyle w:val="ListParagraph"/>
        <w:numPr>
          <w:ilvl w:val="0"/>
          <w:numId w:val="1"/>
        </w:numPr>
        <w:spacing w:after="80"/>
      </w:pPr>
      <w:r>
        <w:t xml:space="preserve">Build and tune logistic regression, decision tree, SVM, random forest, and neural network models</w:t>
      </w:r>
    </w:p>
    <w:p>
      <w:pPr>
        <w:pStyle w:val="ListParagraph"/>
        <w:numPr>
          <w:ilvl w:val="0"/>
          <w:numId w:val="1"/>
        </w:numPr>
        <w:spacing w:after="80"/>
      </w:pPr>
      <w:r>
        <w:t xml:space="preserve">Score and compare models (accuracy, precision, recall, F1, ROC curves); select best model</w:t>
      </w:r>
    </w:p>
    <w:p>
      <w:pPr>
        <w:pStyle w:val="ListParagraph"/>
        <w:numPr>
          <w:ilvl w:val="0"/>
          <w:numId w:val="1"/>
        </w:numPr>
        <w:spacing w:after="80"/>
      </w:pPr>
      <w:r>
        <w:t xml:space="preserve">Deploy the selected model as a Flask API; build a front end / test client</w:t>
      </w:r>
    </w:p>
    <w:p>
      <w:pPr>
        <w:pStyle w:val="ListParagraph"/>
        <w:numPr>
          <w:ilvl w:val="0"/>
          <w:numId w:val="1"/>
        </w:numPr>
        <w:spacing w:after="80"/>
      </w:pPr>
      <w:r>
        <w:t xml:space="preserve">Write full report (executive summary, solution overview) and prepare presentation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a6527ddbc1ad9f2cecbc0bb60f5881c3d2be9de.png"/><Relationship Id="rId8" Type="http://schemas.openxmlformats.org/officeDocument/2006/relationships/image" Target="media/3942ed40c5f6012b46aa9f30cfffbc0098de7139.png"/><Relationship Id="rId9" Type="http://schemas.openxmlformats.org/officeDocument/2006/relationships/image" Target="media/49fab8961dd9a07db8e4085322a5c94e94eff362.png"/><Relationship Id="rId10" Type="http://schemas.openxmlformats.org/officeDocument/2006/relationships/image" Target="media/44b38e4f8906892f6539bccb03d5fce794929a2d.png"/><Relationship Id="rId11" Type="http://schemas.openxmlformats.org/officeDocument/2006/relationships/image" Target="media/1a4b7153df563f3680e2bc80697c6c5b694f8ceb.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2026-07-26T02:33:41.307Z</dcterms:created>
  <dcterms:modified xsi:type="dcterms:W3CDTF">2026-07-26T02:33:41.310Z</dcterms:modified>
</cp:coreProperties>
</file>

<file path=docProps/custom.xml><?xml version="1.0" encoding="utf-8"?>
<Properties xmlns="http://schemas.openxmlformats.org/officeDocument/2006/custom-properties" xmlns:vt="http://schemas.openxmlformats.org/officeDocument/2006/docPropsVTypes"/>
</file>